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ECB0F" w14:textId="1A887C53" w:rsidR="00A23846" w:rsidRDefault="0055384F">
      <w:r>
        <w:t xml:space="preserve">Student Diversity (Diversity may include Experience, Gender diversity, Qualification, Geographic diversity (within </w:t>
      </w:r>
      <w:proofErr w:type="spellStart"/>
      <w:proofErr w:type="gramStart"/>
      <w:r>
        <w:t>state,outside</w:t>
      </w:r>
      <w:proofErr w:type="spellEnd"/>
      <w:proofErr w:type="gramEnd"/>
      <w:r>
        <w:t xml:space="preserve"> state, outside country)) Students at N L Dalmia institute comes from diverse backgrounds. Following is the analysis for the same with respect to certain demographic variables such as Gender, Within State Vs Outside State, Experienced Vs Freshers, Management Stream Background Vs stream other than Management stream</w:t>
      </w:r>
      <w:r>
        <w:t>.</w:t>
      </w:r>
    </w:p>
    <w:p w14:paraId="01163BD8" w14:textId="4D029014" w:rsidR="0055384F" w:rsidRDefault="0055384F"/>
    <w:p w14:paraId="6C105F4B" w14:textId="77777777" w:rsidR="0055384F" w:rsidRDefault="0055384F" w:rsidP="0055384F">
      <w:pPr>
        <w:pStyle w:val="Heading2"/>
        <w:tabs>
          <w:tab w:val="left" w:pos="1481"/>
        </w:tabs>
        <w:spacing w:before="171" w:line="360" w:lineRule="auto"/>
        <w:ind w:left="0" w:right="385"/>
        <w:jc w:val="center"/>
        <w:rPr>
          <w:rFonts w:ascii="Times New Roman" w:hAnsi="Times New Roman" w:cs="Times New Roman"/>
          <w:b/>
        </w:rPr>
      </w:pPr>
      <w:r w:rsidRPr="000D6D4A">
        <w:rPr>
          <w:rFonts w:ascii="Times New Roman" w:hAnsi="Times New Roman" w:cs="Times New Roman"/>
          <w:b/>
        </w:rPr>
        <w:t>Gender</w:t>
      </w:r>
      <w:r w:rsidRPr="000D6D4A">
        <w:rPr>
          <w:rFonts w:ascii="Times New Roman" w:hAnsi="Times New Roman" w:cs="Times New Roman"/>
          <w:b/>
          <w:spacing w:val="-2"/>
        </w:rPr>
        <w:t xml:space="preserve"> </w:t>
      </w:r>
      <w:r w:rsidRPr="000D6D4A">
        <w:rPr>
          <w:rFonts w:ascii="Times New Roman" w:hAnsi="Times New Roman" w:cs="Times New Roman"/>
          <w:b/>
        </w:rPr>
        <w:t>Bifurcation:</w:t>
      </w:r>
    </w:p>
    <w:p w14:paraId="4B24B43C" w14:textId="49FC34E7" w:rsidR="0055384F" w:rsidRPr="000D6D4A" w:rsidRDefault="0055384F" w:rsidP="0055384F">
      <w:pPr>
        <w:pStyle w:val="Heading2"/>
        <w:tabs>
          <w:tab w:val="left" w:pos="1481"/>
        </w:tabs>
        <w:spacing w:before="171" w:line="360" w:lineRule="auto"/>
        <w:ind w:left="0" w:right="385"/>
        <w:jc w:val="center"/>
        <w:rPr>
          <w:rFonts w:ascii="Times New Roman" w:hAnsi="Times New Roman" w:cs="Times New Roman"/>
          <w:b/>
        </w:rPr>
      </w:pPr>
      <w:bookmarkStart w:id="0" w:name="_GoBack"/>
      <w:bookmarkEnd w:id="0"/>
    </w:p>
    <w:tbl>
      <w:tblPr>
        <w:tblW w:w="9209" w:type="dxa"/>
        <w:jc w:val="center"/>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ayout w:type="fixed"/>
        <w:tblCellMar>
          <w:left w:w="0" w:type="dxa"/>
          <w:right w:w="0" w:type="dxa"/>
        </w:tblCellMar>
        <w:tblLook w:val="01E0" w:firstRow="1" w:lastRow="1" w:firstColumn="1" w:lastColumn="1" w:noHBand="0" w:noVBand="0"/>
      </w:tblPr>
      <w:tblGrid>
        <w:gridCol w:w="2405"/>
        <w:gridCol w:w="2215"/>
        <w:gridCol w:w="2525"/>
        <w:gridCol w:w="2064"/>
      </w:tblGrid>
      <w:tr w:rsidR="0055384F" w:rsidRPr="000D6D4A" w14:paraId="53C3F9B8" w14:textId="77777777" w:rsidTr="00B94137">
        <w:trPr>
          <w:trHeight w:val="375"/>
          <w:jc w:val="center"/>
        </w:trPr>
        <w:tc>
          <w:tcPr>
            <w:tcW w:w="2405" w:type="dxa"/>
            <w:shd w:val="clear" w:color="auto" w:fill="A6A6A6" w:themeFill="background1" w:themeFillShade="A6"/>
          </w:tcPr>
          <w:p w14:paraId="5A234287" w14:textId="77777777" w:rsidR="0055384F" w:rsidRPr="007E03D4" w:rsidRDefault="0055384F" w:rsidP="00B94137">
            <w:pPr>
              <w:pStyle w:val="TableParagraph"/>
              <w:spacing w:line="360" w:lineRule="auto"/>
              <w:ind w:left="567" w:right="385"/>
              <w:jc w:val="both"/>
              <w:rPr>
                <w:rFonts w:ascii="Times New Roman" w:hAnsi="Times New Roman" w:cs="Times New Roman"/>
                <w:b/>
                <w:sz w:val="24"/>
                <w:szCs w:val="24"/>
              </w:rPr>
            </w:pPr>
          </w:p>
        </w:tc>
        <w:tc>
          <w:tcPr>
            <w:tcW w:w="2215" w:type="dxa"/>
            <w:shd w:val="clear" w:color="auto" w:fill="A6A6A6" w:themeFill="background1" w:themeFillShade="A6"/>
          </w:tcPr>
          <w:p w14:paraId="15BC21FE" w14:textId="77777777" w:rsidR="0055384F" w:rsidRPr="007E03D4" w:rsidRDefault="0055384F" w:rsidP="00B94137">
            <w:pPr>
              <w:pStyle w:val="TableParagraph"/>
              <w:spacing w:before="167" w:line="360" w:lineRule="auto"/>
              <w:ind w:left="567" w:right="385"/>
              <w:jc w:val="both"/>
              <w:rPr>
                <w:rFonts w:ascii="Times New Roman" w:hAnsi="Times New Roman" w:cs="Times New Roman"/>
                <w:b/>
                <w:sz w:val="24"/>
                <w:szCs w:val="24"/>
              </w:rPr>
            </w:pPr>
            <w:r w:rsidRPr="007E03D4">
              <w:rPr>
                <w:rFonts w:ascii="Times New Roman" w:hAnsi="Times New Roman" w:cs="Times New Roman"/>
                <w:b/>
                <w:sz w:val="24"/>
                <w:szCs w:val="24"/>
              </w:rPr>
              <w:t>Males</w:t>
            </w:r>
          </w:p>
        </w:tc>
        <w:tc>
          <w:tcPr>
            <w:tcW w:w="2525" w:type="dxa"/>
            <w:shd w:val="clear" w:color="auto" w:fill="A6A6A6" w:themeFill="background1" w:themeFillShade="A6"/>
          </w:tcPr>
          <w:p w14:paraId="6D70C4CB" w14:textId="77777777" w:rsidR="0055384F" w:rsidRPr="007E03D4" w:rsidRDefault="0055384F" w:rsidP="00B94137">
            <w:pPr>
              <w:pStyle w:val="TableParagraph"/>
              <w:spacing w:before="167" w:line="360" w:lineRule="auto"/>
              <w:ind w:left="567" w:right="385"/>
              <w:jc w:val="both"/>
              <w:rPr>
                <w:rFonts w:ascii="Times New Roman" w:hAnsi="Times New Roman" w:cs="Times New Roman"/>
                <w:b/>
                <w:sz w:val="24"/>
                <w:szCs w:val="24"/>
              </w:rPr>
            </w:pPr>
            <w:r w:rsidRPr="007E03D4">
              <w:rPr>
                <w:rFonts w:ascii="Times New Roman" w:hAnsi="Times New Roman" w:cs="Times New Roman"/>
                <w:b/>
                <w:sz w:val="24"/>
                <w:szCs w:val="24"/>
              </w:rPr>
              <w:t>Females</w:t>
            </w:r>
          </w:p>
        </w:tc>
        <w:tc>
          <w:tcPr>
            <w:tcW w:w="2064" w:type="dxa"/>
            <w:shd w:val="clear" w:color="auto" w:fill="A6A6A6" w:themeFill="background1" w:themeFillShade="A6"/>
          </w:tcPr>
          <w:p w14:paraId="1A3A9071" w14:textId="77777777" w:rsidR="0055384F" w:rsidRPr="007E03D4" w:rsidRDefault="0055384F" w:rsidP="00B94137">
            <w:pPr>
              <w:pStyle w:val="TableParagraph"/>
              <w:spacing w:before="167" w:line="360" w:lineRule="auto"/>
              <w:ind w:left="567" w:right="385"/>
              <w:jc w:val="both"/>
              <w:rPr>
                <w:rFonts w:ascii="Times New Roman" w:hAnsi="Times New Roman" w:cs="Times New Roman"/>
                <w:b/>
                <w:sz w:val="24"/>
                <w:szCs w:val="24"/>
              </w:rPr>
            </w:pPr>
            <w:r w:rsidRPr="007E03D4">
              <w:rPr>
                <w:rFonts w:ascii="Times New Roman" w:hAnsi="Times New Roman" w:cs="Times New Roman"/>
                <w:b/>
                <w:sz w:val="24"/>
                <w:szCs w:val="24"/>
              </w:rPr>
              <w:t>Total</w:t>
            </w:r>
          </w:p>
        </w:tc>
      </w:tr>
      <w:tr w:rsidR="0055384F" w:rsidRPr="000D6D4A" w14:paraId="14F9B702" w14:textId="77777777" w:rsidTr="00B94137">
        <w:trPr>
          <w:trHeight w:val="374"/>
          <w:jc w:val="center"/>
        </w:trPr>
        <w:tc>
          <w:tcPr>
            <w:tcW w:w="2405" w:type="dxa"/>
          </w:tcPr>
          <w:p w14:paraId="204FEA4D" w14:textId="77777777" w:rsidR="0055384F" w:rsidRPr="000D6D4A" w:rsidRDefault="0055384F" w:rsidP="00B94137">
            <w:pPr>
              <w:pStyle w:val="TableParagraph"/>
              <w:spacing w:before="165" w:line="360" w:lineRule="auto"/>
              <w:ind w:left="279" w:right="48"/>
              <w:rPr>
                <w:rFonts w:ascii="Times New Roman" w:hAnsi="Times New Roman" w:cs="Times New Roman"/>
                <w:sz w:val="24"/>
                <w:szCs w:val="24"/>
              </w:rPr>
            </w:pPr>
            <w:r w:rsidRPr="000D6D4A">
              <w:rPr>
                <w:rFonts w:ascii="Times New Roman" w:hAnsi="Times New Roman" w:cs="Times New Roman"/>
                <w:sz w:val="24"/>
                <w:szCs w:val="24"/>
              </w:rPr>
              <w:t>CAY (2020-21)</w:t>
            </w:r>
          </w:p>
        </w:tc>
        <w:tc>
          <w:tcPr>
            <w:tcW w:w="2215" w:type="dxa"/>
          </w:tcPr>
          <w:p w14:paraId="34DC5960" w14:textId="77777777" w:rsidR="0055384F" w:rsidRPr="000D6D4A" w:rsidRDefault="0055384F" w:rsidP="00B94137">
            <w:pPr>
              <w:pStyle w:val="TableParagraph"/>
              <w:spacing w:before="165" w:line="360" w:lineRule="auto"/>
              <w:ind w:left="567" w:right="385"/>
              <w:jc w:val="both"/>
              <w:rPr>
                <w:rFonts w:ascii="Times New Roman" w:hAnsi="Times New Roman" w:cs="Times New Roman"/>
                <w:sz w:val="24"/>
                <w:szCs w:val="24"/>
              </w:rPr>
            </w:pPr>
            <w:r w:rsidRPr="000D6D4A">
              <w:rPr>
                <w:rFonts w:ascii="Times New Roman" w:hAnsi="Times New Roman" w:cs="Times New Roman"/>
                <w:sz w:val="24"/>
                <w:szCs w:val="24"/>
              </w:rPr>
              <w:t>55 (45.83%)</w:t>
            </w:r>
          </w:p>
        </w:tc>
        <w:tc>
          <w:tcPr>
            <w:tcW w:w="2525" w:type="dxa"/>
          </w:tcPr>
          <w:p w14:paraId="045D83B5" w14:textId="77777777" w:rsidR="0055384F" w:rsidRPr="000D6D4A" w:rsidRDefault="0055384F" w:rsidP="00B94137">
            <w:pPr>
              <w:pStyle w:val="TableParagraph"/>
              <w:spacing w:before="165" w:line="360" w:lineRule="auto"/>
              <w:ind w:left="567" w:right="385"/>
              <w:jc w:val="both"/>
              <w:rPr>
                <w:rFonts w:ascii="Times New Roman" w:hAnsi="Times New Roman" w:cs="Times New Roman"/>
                <w:sz w:val="24"/>
                <w:szCs w:val="24"/>
              </w:rPr>
            </w:pPr>
            <w:r w:rsidRPr="000D6D4A">
              <w:rPr>
                <w:rFonts w:ascii="Times New Roman" w:hAnsi="Times New Roman" w:cs="Times New Roman"/>
                <w:sz w:val="24"/>
                <w:szCs w:val="24"/>
              </w:rPr>
              <w:t>65 (54.17%)</w:t>
            </w:r>
          </w:p>
        </w:tc>
        <w:tc>
          <w:tcPr>
            <w:tcW w:w="2064" w:type="dxa"/>
          </w:tcPr>
          <w:p w14:paraId="12926357" w14:textId="77777777" w:rsidR="0055384F" w:rsidRPr="000D6D4A" w:rsidRDefault="0055384F" w:rsidP="00B94137">
            <w:pPr>
              <w:pStyle w:val="TableParagraph"/>
              <w:spacing w:before="165" w:line="360" w:lineRule="auto"/>
              <w:ind w:left="567" w:right="385"/>
              <w:jc w:val="both"/>
              <w:rPr>
                <w:rFonts w:ascii="Times New Roman" w:hAnsi="Times New Roman" w:cs="Times New Roman"/>
                <w:sz w:val="24"/>
                <w:szCs w:val="24"/>
              </w:rPr>
            </w:pPr>
            <w:r w:rsidRPr="000D6D4A">
              <w:rPr>
                <w:rFonts w:ascii="Times New Roman" w:hAnsi="Times New Roman" w:cs="Times New Roman"/>
                <w:sz w:val="24"/>
                <w:szCs w:val="24"/>
              </w:rPr>
              <w:t>120</w:t>
            </w:r>
          </w:p>
        </w:tc>
      </w:tr>
      <w:tr w:rsidR="0055384F" w:rsidRPr="000D6D4A" w14:paraId="6BA149CB" w14:textId="77777777" w:rsidTr="00B94137">
        <w:trPr>
          <w:trHeight w:val="375"/>
          <w:jc w:val="center"/>
        </w:trPr>
        <w:tc>
          <w:tcPr>
            <w:tcW w:w="2405" w:type="dxa"/>
          </w:tcPr>
          <w:p w14:paraId="4AEE7642" w14:textId="77777777" w:rsidR="0055384F" w:rsidRPr="000D6D4A" w:rsidRDefault="0055384F" w:rsidP="00B94137">
            <w:pPr>
              <w:pStyle w:val="TableParagraph"/>
              <w:spacing w:before="164" w:line="360" w:lineRule="auto"/>
              <w:ind w:left="279" w:right="132"/>
              <w:rPr>
                <w:rFonts w:ascii="Times New Roman" w:hAnsi="Times New Roman" w:cs="Times New Roman"/>
                <w:sz w:val="24"/>
                <w:szCs w:val="24"/>
              </w:rPr>
            </w:pPr>
            <w:r w:rsidRPr="000D6D4A">
              <w:rPr>
                <w:rFonts w:ascii="Times New Roman" w:hAnsi="Times New Roman" w:cs="Times New Roman"/>
                <w:sz w:val="24"/>
                <w:szCs w:val="24"/>
              </w:rPr>
              <w:t>CAY</w:t>
            </w:r>
            <w:r w:rsidRPr="000D6D4A">
              <w:rPr>
                <w:rFonts w:ascii="Times New Roman" w:hAnsi="Times New Roman" w:cs="Times New Roman"/>
                <w:i/>
                <w:sz w:val="24"/>
                <w:szCs w:val="24"/>
              </w:rPr>
              <w:t>m</w:t>
            </w:r>
            <w:r w:rsidRPr="000D6D4A">
              <w:rPr>
                <w:rFonts w:ascii="Times New Roman" w:hAnsi="Times New Roman" w:cs="Times New Roman"/>
                <w:sz w:val="24"/>
                <w:szCs w:val="24"/>
              </w:rPr>
              <w:t>1(2019-20)</w:t>
            </w:r>
          </w:p>
        </w:tc>
        <w:tc>
          <w:tcPr>
            <w:tcW w:w="2215" w:type="dxa"/>
          </w:tcPr>
          <w:p w14:paraId="393B9419" w14:textId="77777777" w:rsidR="0055384F" w:rsidRPr="000D6D4A" w:rsidRDefault="0055384F" w:rsidP="00B94137">
            <w:pPr>
              <w:pStyle w:val="TableParagraph"/>
              <w:spacing w:before="164" w:line="360" w:lineRule="auto"/>
              <w:ind w:left="567" w:right="385"/>
              <w:jc w:val="both"/>
              <w:rPr>
                <w:rFonts w:ascii="Times New Roman" w:hAnsi="Times New Roman" w:cs="Times New Roman"/>
                <w:sz w:val="24"/>
                <w:szCs w:val="24"/>
              </w:rPr>
            </w:pPr>
            <w:r w:rsidRPr="000D6D4A">
              <w:rPr>
                <w:rFonts w:ascii="Times New Roman" w:hAnsi="Times New Roman" w:cs="Times New Roman"/>
                <w:sz w:val="24"/>
                <w:szCs w:val="24"/>
              </w:rPr>
              <w:t>59 (49.17%)</w:t>
            </w:r>
          </w:p>
        </w:tc>
        <w:tc>
          <w:tcPr>
            <w:tcW w:w="2525" w:type="dxa"/>
          </w:tcPr>
          <w:p w14:paraId="3DAD5FEB" w14:textId="77777777" w:rsidR="0055384F" w:rsidRPr="000D6D4A" w:rsidRDefault="0055384F" w:rsidP="00B94137">
            <w:pPr>
              <w:pStyle w:val="TableParagraph"/>
              <w:spacing w:before="164" w:line="360" w:lineRule="auto"/>
              <w:ind w:left="567" w:right="385"/>
              <w:jc w:val="both"/>
              <w:rPr>
                <w:rFonts w:ascii="Times New Roman" w:hAnsi="Times New Roman" w:cs="Times New Roman"/>
                <w:sz w:val="24"/>
                <w:szCs w:val="24"/>
              </w:rPr>
            </w:pPr>
            <w:r w:rsidRPr="000D6D4A">
              <w:rPr>
                <w:rFonts w:ascii="Times New Roman" w:hAnsi="Times New Roman" w:cs="Times New Roman"/>
                <w:sz w:val="24"/>
                <w:szCs w:val="24"/>
              </w:rPr>
              <w:t xml:space="preserve">61 (50.83%) </w:t>
            </w:r>
          </w:p>
        </w:tc>
        <w:tc>
          <w:tcPr>
            <w:tcW w:w="2064" w:type="dxa"/>
          </w:tcPr>
          <w:p w14:paraId="3F45963C" w14:textId="77777777" w:rsidR="0055384F" w:rsidRPr="000D6D4A" w:rsidRDefault="0055384F" w:rsidP="00B94137">
            <w:pPr>
              <w:pStyle w:val="TableParagraph"/>
              <w:spacing w:before="164" w:line="360" w:lineRule="auto"/>
              <w:ind w:left="567" w:right="385"/>
              <w:jc w:val="both"/>
              <w:rPr>
                <w:rFonts w:ascii="Times New Roman" w:hAnsi="Times New Roman" w:cs="Times New Roman"/>
                <w:sz w:val="24"/>
                <w:szCs w:val="24"/>
              </w:rPr>
            </w:pPr>
            <w:r w:rsidRPr="000D6D4A">
              <w:rPr>
                <w:rFonts w:ascii="Times New Roman" w:hAnsi="Times New Roman" w:cs="Times New Roman"/>
                <w:sz w:val="24"/>
                <w:szCs w:val="24"/>
              </w:rPr>
              <w:t>120</w:t>
            </w:r>
          </w:p>
        </w:tc>
      </w:tr>
      <w:tr w:rsidR="0055384F" w:rsidRPr="000D6D4A" w14:paraId="654E656E" w14:textId="77777777" w:rsidTr="00B94137">
        <w:trPr>
          <w:trHeight w:val="373"/>
          <w:jc w:val="center"/>
        </w:trPr>
        <w:tc>
          <w:tcPr>
            <w:tcW w:w="2405" w:type="dxa"/>
          </w:tcPr>
          <w:p w14:paraId="2598F452" w14:textId="77777777" w:rsidR="0055384F" w:rsidRPr="000D6D4A" w:rsidRDefault="0055384F" w:rsidP="00B94137">
            <w:pPr>
              <w:pStyle w:val="TableParagraph"/>
              <w:spacing w:before="164" w:line="360" w:lineRule="auto"/>
              <w:ind w:left="279" w:right="273"/>
              <w:rPr>
                <w:rFonts w:ascii="Times New Roman" w:hAnsi="Times New Roman" w:cs="Times New Roman"/>
                <w:sz w:val="24"/>
                <w:szCs w:val="24"/>
              </w:rPr>
            </w:pPr>
            <w:r w:rsidRPr="000D6D4A">
              <w:rPr>
                <w:rFonts w:ascii="Times New Roman" w:hAnsi="Times New Roman" w:cs="Times New Roman"/>
                <w:sz w:val="24"/>
                <w:szCs w:val="24"/>
              </w:rPr>
              <w:t>CAY</w:t>
            </w:r>
            <w:r w:rsidRPr="000D6D4A">
              <w:rPr>
                <w:rFonts w:ascii="Times New Roman" w:hAnsi="Times New Roman" w:cs="Times New Roman"/>
                <w:i/>
                <w:sz w:val="24"/>
                <w:szCs w:val="24"/>
              </w:rPr>
              <w:t>m</w:t>
            </w:r>
            <w:r w:rsidRPr="000D6D4A">
              <w:rPr>
                <w:rFonts w:ascii="Times New Roman" w:hAnsi="Times New Roman" w:cs="Times New Roman"/>
                <w:sz w:val="24"/>
                <w:szCs w:val="24"/>
              </w:rPr>
              <w:t>2(2018-19)</w:t>
            </w:r>
          </w:p>
        </w:tc>
        <w:tc>
          <w:tcPr>
            <w:tcW w:w="2215" w:type="dxa"/>
          </w:tcPr>
          <w:p w14:paraId="77E1C620" w14:textId="77777777" w:rsidR="0055384F" w:rsidRPr="000D6D4A" w:rsidRDefault="0055384F" w:rsidP="00B94137">
            <w:pPr>
              <w:pStyle w:val="TableParagraph"/>
              <w:spacing w:before="164" w:line="360" w:lineRule="auto"/>
              <w:ind w:left="567" w:right="385"/>
              <w:jc w:val="both"/>
              <w:rPr>
                <w:rFonts w:ascii="Times New Roman" w:hAnsi="Times New Roman" w:cs="Times New Roman"/>
                <w:sz w:val="24"/>
                <w:szCs w:val="24"/>
              </w:rPr>
            </w:pPr>
            <w:r w:rsidRPr="000D6D4A">
              <w:rPr>
                <w:rFonts w:ascii="Times New Roman" w:hAnsi="Times New Roman" w:cs="Times New Roman"/>
                <w:sz w:val="24"/>
                <w:szCs w:val="24"/>
              </w:rPr>
              <w:t>52 (43.33%)</w:t>
            </w:r>
          </w:p>
        </w:tc>
        <w:tc>
          <w:tcPr>
            <w:tcW w:w="2525" w:type="dxa"/>
          </w:tcPr>
          <w:p w14:paraId="2B7ABFC0" w14:textId="77777777" w:rsidR="0055384F" w:rsidRPr="000D6D4A" w:rsidRDefault="0055384F" w:rsidP="00B94137">
            <w:pPr>
              <w:pStyle w:val="TableParagraph"/>
              <w:spacing w:before="164" w:line="360" w:lineRule="auto"/>
              <w:ind w:left="567" w:right="385"/>
              <w:jc w:val="both"/>
              <w:rPr>
                <w:rFonts w:ascii="Times New Roman" w:hAnsi="Times New Roman" w:cs="Times New Roman"/>
                <w:sz w:val="24"/>
                <w:szCs w:val="24"/>
              </w:rPr>
            </w:pPr>
            <w:r w:rsidRPr="000D6D4A">
              <w:rPr>
                <w:rFonts w:ascii="Times New Roman" w:hAnsi="Times New Roman" w:cs="Times New Roman"/>
                <w:sz w:val="24"/>
                <w:szCs w:val="24"/>
              </w:rPr>
              <w:t>68 (56.67%)</w:t>
            </w:r>
          </w:p>
        </w:tc>
        <w:tc>
          <w:tcPr>
            <w:tcW w:w="2064" w:type="dxa"/>
          </w:tcPr>
          <w:p w14:paraId="1F1AE19F" w14:textId="77777777" w:rsidR="0055384F" w:rsidRPr="000D6D4A" w:rsidRDefault="0055384F" w:rsidP="00B94137">
            <w:pPr>
              <w:pStyle w:val="TableParagraph"/>
              <w:spacing w:before="164" w:line="360" w:lineRule="auto"/>
              <w:ind w:left="567" w:right="385"/>
              <w:jc w:val="both"/>
              <w:rPr>
                <w:rFonts w:ascii="Times New Roman" w:hAnsi="Times New Roman" w:cs="Times New Roman"/>
                <w:sz w:val="24"/>
                <w:szCs w:val="24"/>
              </w:rPr>
            </w:pPr>
            <w:r w:rsidRPr="000D6D4A">
              <w:rPr>
                <w:rFonts w:ascii="Times New Roman" w:hAnsi="Times New Roman" w:cs="Times New Roman"/>
                <w:sz w:val="24"/>
                <w:szCs w:val="24"/>
              </w:rPr>
              <w:t>120</w:t>
            </w:r>
          </w:p>
        </w:tc>
      </w:tr>
    </w:tbl>
    <w:p w14:paraId="0B96108B" w14:textId="77777777" w:rsidR="0055384F" w:rsidRPr="000D6D4A" w:rsidRDefault="0055384F" w:rsidP="0055384F">
      <w:pPr>
        <w:pStyle w:val="BodyText"/>
        <w:spacing w:before="5" w:line="360" w:lineRule="auto"/>
        <w:ind w:left="567" w:right="385"/>
        <w:jc w:val="both"/>
        <w:rPr>
          <w:rFonts w:ascii="Times New Roman" w:hAnsi="Times New Roman" w:cs="Times New Roman"/>
          <w:sz w:val="24"/>
          <w:szCs w:val="24"/>
        </w:rPr>
      </w:pPr>
    </w:p>
    <w:p w14:paraId="17056756" w14:textId="77777777" w:rsidR="0055384F" w:rsidRPr="000D6D4A" w:rsidRDefault="0055384F" w:rsidP="0055384F">
      <w:pPr>
        <w:pStyle w:val="BodyText"/>
        <w:spacing w:before="5" w:line="360" w:lineRule="auto"/>
        <w:ind w:right="385"/>
        <w:rPr>
          <w:rFonts w:ascii="Times New Roman" w:hAnsi="Times New Roman" w:cs="Times New Roman"/>
          <w:sz w:val="24"/>
          <w:szCs w:val="24"/>
        </w:rPr>
      </w:pPr>
      <w:r w:rsidRPr="000D6D4A">
        <w:rPr>
          <w:rFonts w:ascii="Times New Roman" w:hAnsi="Times New Roman" w:cs="Times New Roman"/>
          <w:noProof/>
          <w:sz w:val="24"/>
          <w:szCs w:val="24"/>
          <w:lang w:val="en-IN" w:eastAsia="en-IN"/>
        </w:rPr>
        <w:drawing>
          <wp:inline distT="0" distB="0" distL="0" distR="0" wp14:anchorId="398B3CE6" wp14:editId="2DAC0EA2">
            <wp:extent cx="5686425" cy="2819400"/>
            <wp:effectExtent l="19050" t="19050" r="9525" b="19050"/>
            <wp:docPr id="87" name="Chart 87">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455A029E" w14:textId="77777777" w:rsidR="0055384F" w:rsidRDefault="0055384F" w:rsidP="0055384F">
      <w:pPr>
        <w:pStyle w:val="BodyText"/>
        <w:spacing w:before="90" w:line="360" w:lineRule="auto"/>
        <w:ind w:right="385"/>
        <w:jc w:val="both"/>
        <w:rPr>
          <w:rFonts w:ascii="Times New Roman" w:hAnsi="Times New Roman" w:cs="Times New Roman"/>
          <w:sz w:val="24"/>
          <w:szCs w:val="24"/>
        </w:rPr>
      </w:pPr>
      <w:r>
        <w:rPr>
          <w:rFonts w:ascii="Times New Roman" w:hAnsi="Times New Roman" w:cs="Times New Roman"/>
          <w:sz w:val="24"/>
          <w:szCs w:val="24"/>
        </w:rPr>
        <w:t xml:space="preserve">It has been observed that there has been a healthy ratio of </w:t>
      </w:r>
      <w:proofErr w:type="spellStart"/>
      <w:r>
        <w:rPr>
          <w:rFonts w:ascii="Times New Roman" w:hAnsi="Times New Roman" w:cs="Times New Roman"/>
          <w:sz w:val="24"/>
          <w:szCs w:val="24"/>
        </w:rPr>
        <w:t>Male:Female</w:t>
      </w:r>
      <w:proofErr w:type="spellEnd"/>
      <w:r>
        <w:rPr>
          <w:rFonts w:ascii="Times New Roman" w:hAnsi="Times New Roman" w:cs="Times New Roman"/>
          <w:sz w:val="24"/>
          <w:szCs w:val="24"/>
        </w:rPr>
        <w:t xml:space="preserve"> students across the last 3 batches of PGDM.</w:t>
      </w:r>
    </w:p>
    <w:p w14:paraId="29233FF7" w14:textId="77777777" w:rsidR="0055384F" w:rsidRDefault="0055384F" w:rsidP="0055384F">
      <w:pPr>
        <w:rPr>
          <w:rFonts w:ascii="Times New Roman" w:hAnsi="Times New Roman" w:cs="Times New Roman"/>
          <w:sz w:val="24"/>
          <w:szCs w:val="24"/>
        </w:rPr>
      </w:pPr>
      <w:r>
        <w:rPr>
          <w:rFonts w:ascii="Times New Roman" w:hAnsi="Times New Roman" w:cs="Times New Roman"/>
          <w:sz w:val="24"/>
          <w:szCs w:val="24"/>
        </w:rPr>
        <w:br w:type="page"/>
      </w:r>
    </w:p>
    <w:p w14:paraId="4859B508" w14:textId="77777777" w:rsidR="0055384F" w:rsidRDefault="0055384F" w:rsidP="0055384F">
      <w:pPr>
        <w:pStyle w:val="Heading2"/>
        <w:tabs>
          <w:tab w:val="left" w:pos="1481"/>
        </w:tabs>
        <w:spacing w:before="176" w:line="360" w:lineRule="auto"/>
        <w:ind w:left="0" w:right="385"/>
        <w:jc w:val="both"/>
        <w:rPr>
          <w:rFonts w:ascii="Times New Roman" w:hAnsi="Times New Roman" w:cs="Times New Roman"/>
          <w:b/>
        </w:rPr>
      </w:pPr>
      <w:r w:rsidRPr="000D6D4A">
        <w:rPr>
          <w:rFonts w:ascii="Times New Roman" w:hAnsi="Times New Roman" w:cs="Times New Roman"/>
          <w:b/>
        </w:rPr>
        <w:lastRenderedPageBreak/>
        <w:t>Experienced Vs Fresher:</w:t>
      </w:r>
    </w:p>
    <w:p w14:paraId="3482C6A1" w14:textId="0C12D82F" w:rsidR="0055384F" w:rsidRPr="000D6D4A" w:rsidRDefault="0055384F" w:rsidP="0055384F">
      <w:pPr>
        <w:pStyle w:val="Heading2"/>
        <w:tabs>
          <w:tab w:val="left" w:pos="1481"/>
        </w:tabs>
        <w:spacing w:before="171" w:line="360" w:lineRule="auto"/>
        <w:ind w:left="0" w:right="385"/>
        <w:jc w:val="center"/>
        <w:rPr>
          <w:rFonts w:ascii="Times New Roman" w:hAnsi="Times New Roman" w:cs="Times New Roman"/>
          <w:b/>
        </w:rPr>
      </w:pPr>
    </w:p>
    <w:tbl>
      <w:tblPr>
        <w:tblW w:w="8930" w:type="dxa"/>
        <w:jc w:val="center"/>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ayout w:type="fixed"/>
        <w:tblCellMar>
          <w:left w:w="0" w:type="dxa"/>
          <w:right w:w="0" w:type="dxa"/>
        </w:tblCellMar>
        <w:tblLook w:val="01E0" w:firstRow="1" w:lastRow="1" w:firstColumn="1" w:lastColumn="1" w:noHBand="0" w:noVBand="0"/>
      </w:tblPr>
      <w:tblGrid>
        <w:gridCol w:w="2230"/>
        <w:gridCol w:w="2193"/>
        <w:gridCol w:w="2494"/>
        <w:gridCol w:w="2013"/>
      </w:tblGrid>
      <w:tr w:rsidR="0055384F" w:rsidRPr="000D6D4A" w14:paraId="026EBE97" w14:textId="77777777" w:rsidTr="00B94137">
        <w:trPr>
          <w:trHeight w:val="403"/>
          <w:jc w:val="center"/>
        </w:trPr>
        <w:tc>
          <w:tcPr>
            <w:tcW w:w="2230" w:type="dxa"/>
            <w:shd w:val="clear" w:color="auto" w:fill="A6A6A6" w:themeFill="background1" w:themeFillShade="A6"/>
          </w:tcPr>
          <w:p w14:paraId="180AD659" w14:textId="77777777" w:rsidR="0055384F" w:rsidRPr="007E03D4" w:rsidRDefault="0055384F" w:rsidP="00B94137">
            <w:pPr>
              <w:pStyle w:val="TableParagraph"/>
              <w:spacing w:line="360" w:lineRule="auto"/>
              <w:ind w:left="567" w:right="385"/>
              <w:jc w:val="both"/>
              <w:rPr>
                <w:rFonts w:ascii="Times New Roman" w:hAnsi="Times New Roman" w:cs="Times New Roman"/>
                <w:b/>
                <w:sz w:val="24"/>
                <w:szCs w:val="24"/>
              </w:rPr>
            </w:pPr>
          </w:p>
        </w:tc>
        <w:tc>
          <w:tcPr>
            <w:tcW w:w="2193" w:type="dxa"/>
            <w:shd w:val="clear" w:color="auto" w:fill="A6A6A6" w:themeFill="background1" w:themeFillShade="A6"/>
          </w:tcPr>
          <w:p w14:paraId="72CDCF39" w14:textId="77777777" w:rsidR="0055384F" w:rsidRPr="007E03D4" w:rsidRDefault="0055384F" w:rsidP="00B94137">
            <w:pPr>
              <w:pStyle w:val="TableParagraph"/>
              <w:spacing w:before="164" w:line="360" w:lineRule="auto"/>
              <w:ind w:right="385"/>
              <w:jc w:val="center"/>
              <w:rPr>
                <w:rFonts w:ascii="Times New Roman" w:hAnsi="Times New Roman" w:cs="Times New Roman"/>
                <w:b/>
                <w:sz w:val="24"/>
                <w:szCs w:val="24"/>
              </w:rPr>
            </w:pPr>
            <w:r w:rsidRPr="007E03D4">
              <w:rPr>
                <w:rFonts w:ascii="Times New Roman" w:hAnsi="Times New Roman" w:cs="Times New Roman"/>
                <w:b/>
                <w:sz w:val="24"/>
                <w:szCs w:val="24"/>
              </w:rPr>
              <w:t>Experienced</w:t>
            </w:r>
          </w:p>
        </w:tc>
        <w:tc>
          <w:tcPr>
            <w:tcW w:w="2494" w:type="dxa"/>
            <w:shd w:val="clear" w:color="auto" w:fill="A6A6A6" w:themeFill="background1" w:themeFillShade="A6"/>
          </w:tcPr>
          <w:p w14:paraId="5C93B511" w14:textId="77777777" w:rsidR="0055384F" w:rsidRPr="007E03D4" w:rsidRDefault="0055384F" w:rsidP="00B94137">
            <w:pPr>
              <w:pStyle w:val="TableParagraph"/>
              <w:spacing w:before="164" w:line="360" w:lineRule="auto"/>
              <w:ind w:right="385"/>
              <w:jc w:val="center"/>
              <w:rPr>
                <w:rFonts w:ascii="Times New Roman" w:hAnsi="Times New Roman" w:cs="Times New Roman"/>
                <w:b/>
                <w:sz w:val="24"/>
                <w:szCs w:val="24"/>
              </w:rPr>
            </w:pPr>
            <w:r w:rsidRPr="007E03D4">
              <w:rPr>
                <w:rFonts w:ascii="Times New Roman" w:hAnsi="Times New Roman" w:cs="Times New Roman"/>
                <w:b/>
                <w:sz w:val="24"/>
                <w:szCs w:val="24"/>
              </w:rPr>
              <w:t>Fresher</w:t>
            </w:r>
          </w:p>
        </w:tc>
        <w:tc>
          <w:tcPr>
            <w:tcW w:w="2013" w:type="dxa"/>
            <w:shd w:val="clear" w:color="auto" w:fill="A6A6A6" w:themeFill="background1" w:themeFillShade="A6"/>
          </w:tcPr>
          <w:p w14:paraId="299634A7" w14:textId="77777777" w:rsidR="0055384F" w:rsidRPr="007E03D4" w:rsidRDefault="0055384F" w:rsidP="00B94137">
            <w:pPr>
              <w:pStyle w:val="TableParagraph"/>
              <w:spacing w:before="164" w:line="360" w:lineRule="auto"/>
              <w:ind w:right="385"/>
              <w:jc w:val="center"/>
              <w:rPr>
                <w:rFonts w:ascii="Times New Roman" w:hAnsi="Times New Roman" w:cs="Times New Roman"/>
                <w:b/>
                <w:sz w:val="24"/>
                <w:szCs w:val="24"/>
              </w:rPr>
            </w:pPr>
            <w:r w:rsidRPr="007E03D4">
              <w:rPr>
                <w:rFonts w:ascii="Times New Roman" w:hAnsi="Times New Roman" w:cs="Times New Roman"/>
                <w:b/>
                <w:sz w:val="24"/>
                <w:szCs w:val="24"/>
              </w:rPr>
              <w:t>Total</w:t>
            </w:r>
          </w:p>
        </w:tc>
      </w:tr>
      <w:tr w:rsidR="0055384F" w:rsidRPr="000D6D4A" w14:paraId="5DBC1A12" w14:textId="77777777" w:rsidTr="00B94137">
        <w:trPr>
          <w:trHeight w:val="400"/>
          <w:jc w:val="center"/>
        </w:trPr>
        <w:tc>
          <w:tcPr>
            <w:tcW w:w="2230" w:type="dxa"/>
          </w:tcPr>
          <w:p w14:paraId="6D926B1D" w14:textId="77777777" w:rsidR="0055384F" w:rsidRPr="000D6D4A" w:rsidRDefault="0055384F" w:rsidP="00B94137">
            <w:pPr>
              <w:pStyle w:val="TableParagraph"/>
              <w:spacing w:before="164" w:line="360" w:lineRule="auto"/>
              <w:ind w:right="385"/>
              <w:jc w:val="both"/>
              <w:rPr>
                <w:rFonts w:ascii="Times New Roman" w:hAnsi="Times New Roman" w:cs="Times New Roman"/>
                <w:sz w:val="24"/>
                <w:szCs w:val="24"/>
              </w:rPr>
            </w:pPr>
            <w:r w:rsidRPr="000D6D4A">
              <w:rPr>
                <w:rFonts w:ascii="Times New Roman" w:hAnsi="Times New Roman" w:cs="Times New Roman"/>
                <w:sz w:val="24"/>
                <w:szCs w:val="24"/>
              </w:rPr>
              <w:t>CAY (2020-21)</w:t>
            </w:r>
          </w:p>
        </w:tc>
        <w:tc>
          <w:tcPr>
            <w:tcW w:w="2193" w:type="dxa"/>
          </w:tcPr>
          <w:p w14:paraId="25242396" w14:textId="77777777" w:rsidR="0055384F" w:rsidRPr="000D6D4A" w:rsidRDefault="0055384F" w:rsidP="00B94137">
            <w:pPr>
              <w:pStyle w:val="TableParagraph"/>
              <w:spacing w:before="164" w:line="360" w:lineRule="auto"/>
              <w:ind w:left="567" w:right="385"/>
              <w:jc w:val="both"/>
              <w:rPr>
                <w:rFonts w:ascii="Times New Roman" w:hAnsi="Times New Roman" w:cs="Times New Roman"/>
                <w:sz w:val="24"/>
                <w:szCs w:val="24"/>
              </w:rPr>
            </w:pPr>
            <w:r w:rsidRPr="000D6D4A">
              <w:rPr>
                <w:rFonts w:ascii="Times New Roman" w:hAnsi="Times New Roman" w:cs="Times New Roman"/>
                <w:sz w:val="24"/>
                <w:szCs w:val="24"/>
              </w:rPr>
              <w:t>67 (55.83%)</w:t>
            </w:r>
          </w:p>
        </w:tc>
        <w:tc>
          <w:tcPr>
            <w:tcW w:w="2494" w:type="dxa"/>
          </w:tcPr>
          <w:p w14:paraId="7675F932" w14:textId="77777777" w:rsidR="0055384F" w:rsidRPr="000D6D4A" w:rsidRDefault="0055384F" w:rsidP="00B94137">
            <w:pPr>
              <w:pStyle w:val="TableParagraph"/>
              <w:spacing w:before="164" w:line="360" w:lineRule="auto"/>
              <w:ind w:left="567" w:right="385"/>
              <w:jc w:val="both"/>
              <w:rPr>
                <w:rFonts w:ascii="Times New Roman" w:hAnsi="Times New Roman" w:cs="Times New Roman"/>
                <w:sz w:val="24"/>
                <w:szCs w:val="24"/>
              </w:rPr>
            </w:pPr>
            <w:r w:rsidRPr="000D6D4A">
              <w:rPr>
                <w:rFonts w:ascii="Times New Roman" w:hAnsi="Times New Roman" w:cs="Times New Roman"/>
                <w:sz w:val="24"/>
                <w:szCs w:val="24"/>
              </w:rPr>
              <w:t>53 (44.17%)</w:t>
            </w:r>
          </w:p>
        </w:tc>
        <w:tc>
          <w:tcPr>
            <w:tcW w:w="2013" w:type="dxa"/>
          </w:tcPr>
          <w:p w14:paraId="26E5ECD9" w14:textId="77777777" w:rsidR="0055384F" w:rsidRPr="000D6D4A" w:rsidRDefault="0055384F" w:rsidP="00B94137">
            <w:pPr>
              <w:pStyle w:val="TableParagraph"/>
              <w:spacing w:before="164" w:line="360" w:lineRule="auto"/>
              <w:ind w:left="567" w:right="385"/>
              <w:jc w:val="both"/>
              <w:rPr>
                <w:rFonts w:ascii="Times New Roman" w:hAnsi="Times New Roman" w:cs="Times New Roman"/>
                <w:sz w:val="24"/>
                <w:szCs w:val="24"/>
              </w:rPr>
            </w:pPr>
            <w:r w:rsidRPr="000D6D4A">
              <w:rPr>
                <w:rFonts w:ascii="Times New Roman" w:hAnsi="Times New Roman" w:cs="Times New Roman"/>
                <w:sz w:val="24"/>
                <w:szCs w:val="24"/>
              </w:rPr>
              <w:t>120</w:t>
            </w:r>
          </w:p>
        </w:tc>
      </w:tr>
      <w:tr w:rsidR="0055384F" w:rsidRPr="000D6D4A" w14:paraId="51CCDEFD" w14:textId="77777777" w:rsidTr="00B94137">
        <w:trPr>
          <w:trHeight w:val="403"/>
          <w:jc w:val="center"/>
        </w:trPr>
        <w:tc>
          <w:tcPr>
            <w:tcW w:w="2230" w:type="dxa"/>
          </w:tcPr>
          <w:p w14:paraId="14410B32" w14:textId="77777777" w:rsidR="0055384F" w:rsidRPr="000D6D4A" w:rsidRDefault="0055384F" w:rsidP="00B94137">
            <w:pPr>
              <w:pStyle w:val="TableParagraph"/>
              <w:spacing w:before="164" w:line="360" w:lineRule="auto"/>
              <w:ind w:right="385"/>
              <w:jc w:val="both"/>
              <w:rPr>
                <w:rFonts w:ascii="Times New Roman" w:hAnsi="Times New Roman" w:cs="Times New Roman"/>
                <w:sz w:val="24"/>
                <w:szCs w:val="24"/>
              </w:rPr>
            </w:pPr>
            <w:r w:rsidRPr="000D6D4A">
              <w:rPr>
                <w:rFonts w:ascii="Times New Roman" w:hAnsi="Times New Roman" w:cs="Times New Roman"/>
                <w:sz w:val="24"/>
                <w:szCs w:val="24"/>
              </w:rPr>
              <w:t>CAY</w:t>
            </w:r>
            <w:r w:rsidRPr="000D6D4A">
              <w:rPr>
                <w:rFonts w:ascii="Times New Roman" w:hAnsi="Times New Roman" w:cs="Times New Roman"/>
                <w:i/>
                <w:sz w:val="24"/>
                <w:szCs w:val="24"/>
              </w:rPr>
              <w:t>m</w:t>
            </w:r>
            <w:r w:rsidRPr="000D6D4A">
              <w:rPr>
                <w:rFonts w:ascii="Times New Roman" w:hAnsi="Times New Roman" w:cs="Times New Roman"/>
                <w:sz w:val="24"/>
                <w:szCs w:val="24"/>
              </w:rPr>
              <w:t>1(2019-20)</w:t>
            </w:r>
          </w:p>
        </w:tc>
        <w:tc>
          <w:tcPr>
            <w:tcW w:w="2193" w:type="dxa"/>
          </w:tcPr>
          <w:p w14:paraId="1E572ACC" w14:textId="77777777" w:rsidR="0055384F" w:rsidRPr="000D6D4A" w:rsidRDefault="0055384F" w:rsidP="00B94137">
            <w:pPr>
              <w:pStyle w:val="TableParagraph"/>
              <w:spacing w:before="164" w:line="360" w:lineRule="auto"/>
              <w:ind w:left="567" w:right="385"/>
              <w:jc w:val="both"/>
              <w:rPr>
                <w:rFonts w:ascii="Times New Roman" w:hAnsi="Times New Roman" w:cs="Times New Roman"/>
                <w:sz w:val="24"/>
                <w:szCs w:val="24"/>
              </w:rPr>
            </w:pPr>
            <w:r w:rsidRPr="000D6D4A">
              <w:rPr>
                <w:rFonts w:ascii="Times New Roman" w:hAnsi="Times New Roman" w:cs="Times New Roman"/>
                <w:sz w:val="24"/>
                <w:szCs w:val="24"/>
              </w:rPr>
              <w:t>27 (22.50%)</w:t>
            </w:r>
          </w:p>
        </w:tc>
        <w:tc>
          <w:tcPr>
            <w:tcW w:w="2494" w:type="dxa"/>
          </w:tcPr>
          <w:p w14:paraId="11119F57" w14:textId="77777777" w:rsidR="0055384F" w:rsidRPr="000D6D4A" w:rsidRDefault="0055384F" w:rsidP="00B94137">
            <w:pPr>
              <w:pStyle w:val="TableParagraph"/>
              <w:spacing w:before="164" w:line="360" w:lineRule="auto"/>
              <w:ind w:left="567" w:right="385"/>
              <w:jc w:val="both"/>
              <w:rPr>
                <w:rFonts w:ascii="Times New Roman" w:hAnsi="Times New Roman" w:cs="Times New Roman"/>
                <w:sz w:val="24"/>
                <w:szCs w:val="24"/>
              </w:rPr>
            </w:pPr>
            <w:r w:rsidRPr="000D6D4A">
              <w:rPr>
                <w:rFonts w:ascii="Times New Roman" w:hAnsi="Times New Roman" w:cs="Times New Roman"/>
                <w:sz w:val="24"/>
                <w:szCs w:val="24"/>
              </w:rPr>
              <w:t>93 (77.50%)</w:t>
            </w:r>
          </w:p>
        </w:tc>
        <w:tc>
          <w:tcPr>
            <w:tcW w:w="2013" w:type="dxa"/>
          </w:tcPr>
          <w:p w14:paraId="6C1A8E2A" w14:textId="77777777" w:rsidR="0055384F" w:rsidRPr="000D6D4A" w:rsidRDefault="0055384F" w:rsidP="00B94137">
            <w:pPr>
              <w:pStyle w:val="TableParagraph"/>
              <w:spacing w:before="164" w:line="360" w:lineRule="auto"/>
              <w:ind w:left="567" w:right="385"/>
              <w:jc w:val="both"/>
              <w:rPr>
                <w:rFonts w:ascii="Times New Roman" w:hAnsi="Times New Roman" w:cs="Times New Roman"/>
                <w:sz w:val="24"/>
                <w:szCs w:val="24"/>
              </w:rPr>
            </w:pPr>
            <w:r w:rsidRPr="000D6D4A">
              <w:rPr>
                <w:rFonts w:ascii="Times New Roman" w:hAnsi="Times New Roman" w:cs="Times New Roman"/>
                <w:sz w:val="24"/>
                <w:szCs w:val="24"/>
              </w:rPr>
              <w:t>120</w:t>
            </w:r>
          </w:p>
        </w:tc>
      </w:tr>
      <w:tr w:rsidR="0055384F" w:rsidRPr="000D6D4A" w14:paraId="79E26612" w14:textId="77777777" w:rsidTr="00B94137">
        <w:trPr>
          <w:trHeight w:val="403"/>
          <w:jc w:val="center"/>
        </w:trPr>
        <w:tc>
          <w:tcPr>
            <w:tcW w:w="2230" w:type="dxa"/>
          </w:tcPr>
          <w:p w14:paraId="3B9361F5" w14:textId="77777777" w:rsidR="0055384F" w:rsidRPr="000D6D4A" w:rsidRDefault="0055384F" w:rsidP="00B94137">
            <w:pPr>
              <w:pStyle w:val="TableParagraph"/>
              <w:spacing w:before="161" w:line="360" w:lineRule="auto"/>
              <w:ind w:right="385"/>
              <w:jc w:val="both"/>
              <w:rPr>
                <w:rFonts w:ascii="Times New Roman" w:hAnsi="Times New Roman" w:cs="Times New Roman"/>
                <w:sz w:val="24"/>
                <w:szCs w:val="24"/>
              </w:rPr>
            </w:pPr>
            <w:r w:rsidRPr="000D6D4A">
              <w:rPr>
                <w:rFonts w:ascii="Times New Roman" w:hAnsi="Times New Roman" w:cs="Times New Roman"/>
                <w:sz w:val="24"/>
                <w:szCs w:val="24"/>
              </w:rPr>
              <w:t>CAY</w:t>
            </w:r>
            <w:r w:rsidRPr="000D6D4A">
              <w:rPr>
                <w:rFonts w:ascii="Times New Roman" w:hAnsi="Times New Roman" w:cs="Times New Roman"/>
                <w:i/>
                <w:sz w:val="24"/>
                <w:szCs w:val="24"/>
              </w:rPr>
              <w:t>m</w:t>
            </w:r>
            <w:r w:rsidRPr="000D6D4A">
              <w:rPr>
                <w:rFonts w:ascii="Times New Roman" w:hAnsi="Times New Roman" w:cs="Times New Roman"/>
                <w:sz w:val="24"/>
                <w:szCs w:val="24"/>
              </w:rPr>
              <w:t>2(2018-19)</w:t>
            </w:r>
          </w:p>
        </w:tc>
        <w:tc>
          <w:tcPr>
            <w:tcW w:w="2193" w:type="dxa"/>
          </w:tcPr>
          <w:p w14:paraId="2021C9E0" w14:textId="77777777" w:rsidR="0055384F" w:rsidRPr="000D6D4A" w:rsidRDefault="0055384F" w:rsidP="00B94137">
            <w:pPr>
              <w:pStyle w:val="TableParagraph"/>
              <w:spacing w:before="164" w:line="360" w:lineRule="auto"/>
              <w:ind w:left="567" w:right="385"/>
              <w:jc w:val="both"/>
              <w:rPr>
                <w:rFonts w:ascii="Times New Roman" w:hAnsi="Times New Roman" w:cs="Times New Roman"/>
                <w:sz w:val="24"/>
                <w:szCs w:val="24"/>
              </w:rPr>
            </w:pPr>
            <w:r w:rsidRPr="000D6D4A">
              <w:rPr>
                <w:rFonts w:ascii="Times New Roman" w:hAnsi="Times New Roman" w:cs="Times New Roman"/>
                <w:sz w:val="24"/>
                <w:szCs w:val="24"/>
              </w:rPr>
              <w:t>35 (29.17%)</w:t>
            </w:r>
          </w:p>
        </w:tc>
        <w:tc>
          <w:tcPr>
            <w:tcW w:w="2494" w:type="dxa"/>
          </w:tcPr>
          <w:p w14:paraId="4B4A4FFF" w14:textId="77777777" w:rsidR="0055384F" w:rsidRPr="000D6D4A" w:rsidRDefault="0055384F" w:rsidP="00B94137">
            <w:pPr>
              <w:pStyle w:val="TableParagraph"/>
              <w:spacing w:before="164" w:line="360" w:lineRule="auto"/>
              <w:ind w:left="567" w:right="385"/>
              <w:jc w:val="both"/>
              <w:rPr>
                <w:rFonts w:ascii="Times New Roman" w:hAnsi="Times New Roman" w:cs="Times New Roman"/>
                <w:sz w:val="24"/>
                <w:szCs w:val="24"/>
              </w:rPr>
            </w:pPr>
            <w:r w:rsidRPr="000D6D4A">
              <w:rPr>
                <w:rFonts w:ascii="Times New Roman" w:hAnsi="Times New Roman" w:cs="Times New Roman"/>
                <w:sz w:val="24"/>
                <w:szCs w:val="24"/>
              </w:rPr>
              <w:t>85 (70.83%)</w:t>
            </w:r>
          </w:p>
        </w:tc>
        <w:tc>
          <w:tcPr>
            <w:tcW w:w="2013" w:type="dxa"/>
          </w:tcPr>
          <w:p w14:paraId="7CEBB742" w14:textId="77777777" w:rsidR="0055384F" w:rsidRPr="000D6D4A" w:rsidRDefault="0055384F" w:rsidP="00B94137">
            <w:pPr>
              <w:pStyle w:val="TableParagraph"/>
              <w:spacing w:before="164" w:line="360" w:lineRule="auto"/>
              <w:ind w:left="567" w:right="385"/>
              <w:jc w:val="both"/>
              <w:rPr>
                <w:rFonts w:ascii="Times New Roman" w:hAnsi="Times New Roman" w:cs="Times New Roman"/>
                <w:sz w:val="24"/>
                <w:szCs w:val="24"/>
              </w:rPr>
            </w:pPr>
            <w:r w:rsidRPr="000D6D4A">
              <w:rPr>
                <w:rFonts w:ascii="Times New Roman" w:hAnsi="Times New Roman" w:cs="Times New Roman"/>
                <w:sz w:val="24"/>
                <w:szCs w:val="24"/>
              </w:rPr>
              <w:t>120</w:t>
            </w:r>
          </w:p>
        </w:tc>
      </w:tr>
    </w:tbl>
    <w:p w14:paraId="7D72AD8E" w14:textId="77777777" w:rsidR="0055384F" w:rsidRPr="000D6D4A" w:rsidRDefault="0055384F" w:rsidP="0055384F">
      <w:pPr>
        <w:pStyle w:val="BodyText"/>
        <w:spacing w:before="2" w:line="360" w:lineRule="auto"/>
        <w:ind w:left="567" w:right="385"/>
        <w:jc w:val="both"/>
        <w:rPr>
          <w:rFonts w:ascii="Times New Roman" w:hAnsi="Times New Roman" w:cs="Times New Roman"/>
          <w:b/>
          <w:sz w:val="24"/>
          <w:szCs w:val="24"/>
        </w:rPr>
      </w:pPr>
    </w:p>
    <w:p w14:paraId="33792BE1" w14:textId="77777777" w:rsidR="0055384F" w:rsidRPr="000D6D4A" w:rsidRDefault="0055384F" w:rsidP="0055384F">
      <w:pPr>
        <w:pStyle w:val="BodyText"/>
        <w:spacing w:before="2" w:line="360" w:lineRule="auto"/>
        <w:ind w:right="385"/>
        <w:rPr>
          <w:rFonts w:ascii="Times New Roman" w:hAnsi="Times New Roman" w:cs="Times New Roman"/>
          <w:b/>
          <w:sz w:val="24"/>
          <w:szCs w:val="24"/>
        </w:rPr>
      </w:pPr>
      <w:r w:rsidRPr="000D6D4A">
        <w:rPr>
          <w:rFonts w:ascii="Times New Roman" w:hAnsi="Times New Roman" w:cs="Times New Roman"/>
          <w:noProof/>
          <w:sz w:val="24"/>
          <w:szCs w:val="24"/>
          <w:lang w:val="en-IN" w:eastAsia="en-IN"/>
        </w:rPr>
        <w:drawing>
          <wp:inline distT="0" distB="0" distL="0" distR="0" wp14:anchorId="3CBA36D7" wp14:editId="4ED6B5B7">
            <wp:extent cx="5667375" cy="2981325"/>
            <wp:effectExtent l="19050" t="19050" r="9525" b="9525"/>
            <wp:docPr id="101" name="Chart 101">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A9523FD" w14:textId="77777777" w:rsidR="0055384F" w:rsidRPr="000D6D4A" w:rsidRDefault="0055384F" w:rsidP="0055384F">
      <w:pPr>
        <w:pStyle w:val="BodyText"/>
        <w:spacing w:before="2" w:line="360" w:lineRule="auto"/>
        <w:ind w:left="567" w:right="385"/>
        <w:jc w:val="both"/>
        <w:rPr>
          <w:rFonts w:ascii="Times New Roman" w:hAnsi="Times New Roman" w:cs="Times New Roman"/>
          <w:b/>
          <w:sz w:val="24"/>
          <w:szCs w:val="24"/>
        </w:rPr>
      </w:pPr>
    </w:p>
    <w:p w14:paraId="5692852A" w14:textId="77777777" w:rsidR="0055384F" w:rsidRDefault="0055384F" w:rsidP="0055384F">
      <w:pPr>
        <w:pStyle w:val="BodyText"/>
        <w:spacing w:before="90" w:line="360" w:lineRule="auto"/>
        <w:ind w:right="-2"/>
        <w:jc w:val="both"/>
        <w:rPr>
          <w:rFonts w:ascii="Times New Roman" w:hAnsi="Times New Roman" w:cs="Times New Roman"/>
          <w:sz w:val="24"/>
          <w:szCs w:val="24"/>
        </w:rPr>
      </w:pPr>
      <w:r w:rsidRPr="000D6D4A">
        <w:rPr>
          <w:rFonts w:ascii="Times New Roman" w:hAnsi="Times New Roman" w:cs="Times New Roman"/>
          <w:sz w:val="24"/>
          <w:szCs w:val="24"/>
        </w:rPr>
        <w:t>In comparison to the previous two academic years, there has been a notable increase in the number of experienced students compared to fresher’s for A.Y. 2020-21.</w:t>
      </w:r>
    </w:p>
    <w:p w14:paraId="4E0B7772" w14:textId="77777777" w:rsidR="0055384F" w:rsidRDefault="0055384F" w:rsidP="0055384F">
      <w:pPr>
        <w:rPr>
          <w:rFonts w:ascii="Times New Roman" w:hAnsi="Times New Roman" w:cs="Times New Roman"/>
          <w:sz w:val="24"/>
          <w:szCs w:val="24"/>
        </w:rPr>
      </w:pPr>
      <w:r>
        <w:rPr>
          <w:rFonts w:ascii="Times New Roman" w:hAnsi="Times New Roman" w:cs="Times New Roman"/>
          <w:sz w:val="24"/>
          <w:szCs w:val="24"/>
        </w:rPr>
        <w:br w:type="page"/>
      </w:r>
    </w:p>
    <w:p w14:paraId="28F22C6E" w14:textId="77777777" w:rsidR="0055384F" w:rsidRDefault="0055384F" w:rsidP="0055384F">
      <w:pPr>
        <w:pStyle w:val="Heading2"/>
        <w:tabs>
          <w:tab w:val="left" w:pos="1480"/>
          <w:tab w:val="left" w:pos="1481"/>
        </w:tabs>
        <w:spacing w:after="240" w:line="360" w:lineRule="auto"/>
        <w:ind w:left="0" w:right="385"/>
        <w:jc w:val="both"/>
        <w:rPr>
          <w:rFonts w:ascii="Times New Roman" w:hAnsi="Times New Roman" w:cs="Times New Roman"/>
          <w:b/>
        </w:rPr>
      </w:pPr>
      <w:r w:rsidRPr="000D6D4A">
        <w:rPr>
          <w:rFonts w:ascii="Times New Roman" w:hAnsi="Times New Roman" w:cs="Times New Roman"/>
          <w:b/>
        </w:rPr>
        <w:lastRenderedPageBreak/>
        <w:t xml:space="preserve">Graduation Background (Management Vs </w:t>
      </w:r>
      <w:proofErr w:type="gramStart"/>
      <w:r w:rsidRPr="000D6D4A">
        <w:rPr>
          <w:rFonts w:ascii="Times New Roman" w:hAnsi="Times New Roman" w:cs="Times New Roman"/>
          <w:b/>
        </w:rPr>
        <w:t>Other</w:t>
      </w:r>
      <w:proofErr w:type="gramEnd"/>
      <w:r w:rsidRPr="000D6D4A">
        <w:rPr>
          <w:rFonts w:ascii="Times New Roman" w:hAnsi="Times New Roman" w:cs="Times New Roman"/>
          <w:b/>
          <w:spacing w:val="-3"/>
        </w:rPr>
        <w:t xml:space="preserve"> </w:t>
      </w:r>
      <w:r w:rsidRPr="000D6D4A">
        <w:rPr>
          <w:rFonts w:ascii="Times New Roman" w:hAnsi="Times New Roman" w:cs="Times New Roman"/>
          <w:b/>
        </w:rPr>
        <w:t>Stream):</w:t>
      </w:r>
    </w:p>
    <w:p w14:paraId="6D9F2D88" w14:textId="0A05657B" w:rsidR="0055384F" w:rsidRPr="000D6D4A" w:rsidRDefault="0055384F" w:rsidP="0055384F">
      <w:pPr>
        <w:pStyle w:val="Heading2"/>
        <w:tabs>
          <w:tab w:val="left" w:pos="1480"/>
          <w:tab w:val="left" w:pos="1481"/>
        </w:tabs>
        <w:spacing w:line="360" w:lineRule="auto"/>
        <w:ind w:left="0" w:right="385"/>
        <w:jc w:val="center"/>
        <w:rPr>
          <w:rFonts w:ascii="Times New Roman" w:hAnsi="Times New Roman" w:cs="Times New Roman"/>
          <w:b/>
        </w:rPr>
      </w:pPr>
    </w:p>
    <w:tbl>
      <w:tblPr>
        <w:tblpPr w:leftFromText="180" w:rightFromText="180" w:vertAnchor="text" w:horzAnchor="margin" w:tblpY="150"/>
        <w:tblW w:w="0" w:type="auto"/>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ayout w:type="fixed"/>
        <w:tblCellMar>
          <w:left w:w="0" w:type="dxa"/>
          <w:right w:w="0" w:type="dxa"/>
        </w:tblCellMar>
        <w:tblLook w:val="01E0" w:firstRow="1" w:lastRow="1" w:firstColumn="1" w:lastColumn="1" w:noHBand="0" w:noVBand="0"/>
      </w:tblPr>
      <w:tblGrid>
        <w:gridCol w:w="2260"/>
        <w:gridCol w:w="2260"/>
        <w:gridCol w:w="2260"/>
        <w:gridCol w:w="2260"/>
      </w:tblGrid>
      <w:tr w:rsidR="0055384F" w:rsidRPr="000D6D4A" w14:paraId="25855D7B" w14:textId="77777777" w:rsidTr="00B94137">
        <w:trPr>
          <w:trHeight w:val="33"/>
        </w:trPr>
        <w:tc>
          <w:tcPr>
            <w:tcW w:w="2260" w:type="dxa"/>
            <w:shd w:val="clear" w:color="auto" w:fill="A6A6A6" w:themeFill="background1" w:themeFillShade="A6"/>
            <w:vAlign w:val="center"/>
          </w:tcPr>
          <w:p w14:paraId="0EA2B5BE" w14:textId="77777777" w:rsidR="0055384F" w:rsidRPr="00367060" w:rsidRDefault="0055384F" w:rsidP="00B94137">
            <w:pPr>
              <w:pStyle w:val="TableParagraph"/>
              <w:spacing w:line="360" w:lineRule="auto"/>
              <w:ind w:left="567" w:right="385"/>
              <w:rPr>
                <w:rFonts w:ascii="Times New Roman" w:hAnsi="Times New Roman" w:cs="Times New Roman"/>
                <w:b/>
                <w:sz w:val="24"/>
                <w:szCs w:val="24"/>
              </w:rPr>
            </w:pPr>
          </w:p>
        </w:tc>
        <w:tc>
          <w:tcPr>
            <w:tcW w:w="2260" w:type="dxa"/>
            <w:shd w:val="clear" w:color="auto" w:fill="A6A6A6" w:themeFill="background1" w:themeFillShade="A6"/>
            <w:vAlign w:val="center"/>
          </w:tcPr>
          <w:p w14:paraId="1322ECE7" w14:textId="77777777" w:rsidR="0055384F" w:rsidRPr="00367060" w:rsidRDefault="0055384F" w:rsidP="00B94137">
            <w:pPr>
              <w:pStyle w:val="TableParagraph"/>
              <w:spacing w:before="172" w:line="276" w:lineRule="auto"/>
              <w:ind w:left="567" w:right="385" w:hanging="286"/>
              <w:rPr>
                <w:rFonts w:ascii="Times New Roman" w:hAnsi="Times New Roman" w:cs="Times New Roman"/>
                <w:b/>
                <w:sz w:val="24"/>
                <w:szCs w:val="24"/>
              </w:rPr>
            </w:pPr>
            <w:r w:rsidRPr="00367060">
              <w:rPr>
                <w:rFonts w:ascii="Times New Roman" w:hAnsi="Times New Roman" w:cs="Times New Roman"/>
                <w:b/>
                <w:sz w:val="24"/>
                <w:szCs w:val="24"/>
              </w:rPr>
              <w:t>Management Stream</w:t>
            </w:r>
          </w:p>
        </w:tc>
        <w:tc>
          <w:tcPr>
            <w:tcW w:w="2260" w:type="dxa"/>
            <w:shd w:val="clear" w:color="auto" w:fill="A6A6A6" w:themeFill="background1" w:themeFillShade="A6"/>
            <w:vAlign w:val="center"/>
          </w:tcPr>
          <w:p w14:paraId="3DE71A35" w14:textId="77777777" w:rsidR="0055384F" w:rsidRPr="00367060" w:rsidRDefault="0055384F" w:rsidP="00B94137">
            <w:pPr>
              <w:pStyle w:val="TableParagraph"/>
              <w:spacing w:before="167" w:line="276" w:lineRule="auto"/>
              <w:ind w:left="567" w:right="385"/>
              <w:rPr>
                <w:rFonts w:ascii="Times New Roman" w:hAnsi="Times New Roman" w:cs="Times New Roman"/>
                <w:b/>
                <w:sz w:val="24"/>
                <w:szCs w:val="24"/>
              </w:rPr>
            </w:pPr>
            <w:proofErr w:type="gramStart"/>
            <w:r w:rsidRPr="00367060">
              <w:rPr>
                <w:rFonts w:ascii="Times New Roman" w:hAnsi="Times New Roman" w:cs="Times New Roman"/>
                <w:b/>
                <w:sz w:val="24"/>
                <w:szCs w:val="24"/>
              </w:rPr>
              <w:t>Other</w:t>
            </w:r>
            <w:proofErr w:type="gramEnd"/>
            <w:r w:rsidRPr="00367060">
              <w:rPr>
                <w:rFonts w:ascii="Times New Roman" w:hAnsi="Times New Roman" w:cs="Times New Roman"/>
                <w:b/>
                <w:sz w:val="24"/>
                <w:szCs w:val="24"/>
              </w:rPr>
              <w:t xml:space="preserve"> Stream</w:t>
            </w:r>
          </w:p>
        </w:tc>
        <w:tc>
          <w:tcPr>
            <w:tcW w:w="2260" w:type="dxa"/>
            <w:shd w:val="clear" w:color="auto" w:fill="A6A6A6" w:themeFill="background1" w:themeFillShade="A6"/>
            <w:vAlign w:val="center"/>
          </w:tcPr>
          <w:p w14:paraId="65E5373F" w14:textId="77777777" w:rsidR="0055384F" w:rsidRPr="00367060" w:rsidRDefault="0055384F" w:rsidP="00B94137">
            <w:pPr>
              <w:pStyle w:val="TableParagraph"/>
              <w:spacing w:before="167" w:line="276" w:lineRule="auto"/>
              <w:ind w:left="567" w:right="385"/>
              <w:rPr>
                <w:rFonts w:ascii="Times New Roman" w:hAnsi="Times New Roman" w:cs="Times New Roman"/>
                <w:b/>
                <w:sz w:val="24"/>
                <w:szCs w:val="24"/>
              </w:rPr>
            </w:pPr>
            <w:r w:rsidRPr="00367060">
              <w:rPr>
                <w:rFonts w:ascii="Times New Roman" w:hAnsi="Times New Roman" w:cs="Times New Roman"/>
                <w:b/>
                <w:sz w:val="24"/>
                <w:szCs w:val="24"/>
              </w:rPr>
              <w:t>Total</w:t>
            </w:r>
          </w:p>
        </w:tc>
      </w:tr>
      <w:tr w:rsidR="0055384F" w:rsidRPr="000D6D4A" w14:paraId="78D1E85F" w14:textId="77777777" w:rsidTr="00B94137">
        <w:trPr>
          <w:trHeight w:val="834"/>
        </w:trPr>
        <w:tc>
          <w:tcPr>
            <w:tcW w:w="2260" w:type="dxa"/>
            <w:vAlign w:val="center"/>
          </w:tcPr>
          <w:p w14:paraId="085FF940" w14:textId="77777777" w:rsidR="0055384F" w:rsidRPr="000D6D4A" w:rsidRDefault="0055384F" w:rsidP="00B94137">
            <w:pPr>
              <w:pStyle w:val="TableParagraph"/>
              <w:spacing w:line="360" w:lineRule="auto"/>
              <w:ind w:right="385"/>
              <w:jc w:val="center"/>
              <w:rPr>
                <w:rFonts w:ascii="Times New Roman" w:hAnsi="Times New Roman" w:cs="Times New Roman"/>
                <w:sz w:val="24"/>
                <w:szCs w:val="24"/>
              </w:rPr>
            </w:pPr>
            <w:r w:rsidRPr="000D6D4A">
              <w:rPr>
                <w:rFonts w:ascii="Times New Roman" w:hAnsi="Times New Roman" w:cs="Times New Roman"/>
                <w:sz w:val="24"/>
                <w:szCs w:val="24"/>
              </w:rPr>
              <w:t>CAY</w:t>
            </w:r>
          </w:p>
          <w:p w14:paraId="64E9BD40" w14:textId="77777777" w:rsidR="0055384F" w:rsidRPr="000D6D4A" w:rsidRDefault="0055384F" w:rsidP="00B94137">
            <w:pPr>
              <w:pStyle w:val="TableParagraph"/>
              <w:spacing w:line="360" w:lineRule="auto"/>
              <w:ind w:right="385"/>
              <w:jc w:val="center"/>
              <w:rPr>
                <w:rFonts w:ascii="Times New Roman" w:hAnsi="Times New Roman" w:cs="Times New Roman"/>
                <w:sz w:val="24"/>
                <w:szCs w:val="24"/>
              </w:rPr>
            </w:pPr>
            <w:r w:rsidRPr="000D6D4A">
              <w:rPr>
                <w:rFonts w:ascii="Times New Roman" w:hAnsi="Times New Roman" w:cs="Times New Roman"/>
                <w:sz w:val="24"/>
                <w:szCs w:val="24"/>
              </w:rPr>
              <w:t>(2020-21)</w:t>
            </w:r>
          </w:p>
        </w:tc>
        <w:tc>
          <w:tcPr>
            <w:tcW w:w="2260" w:type="dxa"/>
            <w:vAlign w:val="center"/>
          </w:tcPr>
          <w:p w14:paraId="760E3882" w14:textId="77777777" w:rsidR="0055384F" w:rsidRPr="000D6D4A" w:rsidRDefault="0055384F" w:rsidP="00B94137">
            <w:pPr>
              <w:pStyle w:val="TableParagraph"/>
              <w:spacing w:line="360" w:lineRule="auto"/>
              <w:ind w:left="567" w:right="385"/>
              <w:jc w:val="center"/>
              <w:rPr>
                <w:rFonts w:ascii="Times New Roman" w:hAnsi="Times New Roman" w:cs="Times New Roman"/>
                <w:sz w:val="24"/>
                <w:szCs w:val="24"/>
              </w:rPr>
            </w:pPr>
            <w:r w:rsidRPr="000D6D4A">
              <w:rPr>
                <w:rFonts w:ascii="Times New Roman" w:hAnsi="Times New Roman" w:cs="Times New Roman"/>
                <w:sz w:val="24"/>
                <w:szCs w:val="24"/>
              </w:rPr>
              <w:t>22 (18.33%)</w:t>
            </w:r>
          </w:p>
        </w:tc>
        <w:tc>
          <w:tcPr>
            <w:tcW w:w="2260" w:type="dxa"/>
            <w:vAlign w:val="center"/>
          </w:tcPr>
          <w:p w14:paraId="1A9AC186" w14:textId="77777777" w:rsidR="0055384F" w:rsidRPr="000D6D4A" w:rsidRDefault="0055384F" w:rsidP="00B94137">
            <w:pPr>
              <w:pStyle w:val="TableParagraph"/>
              <w:spacing w:line="360" w:lineRule="auto"/>
              <w:ind w:left="567" w:right="385"/>
              <w:jc w:val="center"/>
              <w:rPr>
                <w:rFonts w:ascii="Times New Roman" w:hAnsi="Times New Roman" w:cs="Times New Roman"/>
                <w:sz w:val="24"/>
                <w:szCs w:val="24"/>
              </w:rPr>
            </w:pPr>
            <w:r w:rsidRPr="000D6D4A">
              <w:rPr>
                <w:rFonts w:ascii="Times New Roman" w:hAnsi="Times New Roman" w:cs="Times New Roman"/>
                <w:sz w:val="24"/>
                <w:szCs w:val="24"/>
              </w:rPr>
              <w:t>98 (81.67%)</w:t>
            </w:r>
          </w:p>
        </w:tc>
        <w:tc>
          <w:tcPr>
            <w:tcW w:w="2260" w:type="dxa"/>
            <w:vAlign w:val="center"/>
          </w:tcPr>
          <w:p w14:paraId="3DFEF38B" w14:textId="77777777" w:rsidR="0055384F" w:rsidRPr="000D6D4A" w:rsidRDefault="0055384F" w:rsidP="00B94137">
            <w:pPr>
              <w:pStyle w:val="TableParagraph"/>
              <w:spacing w:line="360" w:lineRule="auto"/>
              <w:ind w:left="567" w:right="385"/>
              <w:jc w:val="center"/>
              <w:rPr>
                <w:rFonts w:ascii="Times New Roman" w:hAnsi="Times New Roman" w:cs="Times New Roman"/>
                <w:sz w:val="24"/>
                <w:szCs w:val="24"/>
              </w:rPr>
            </w:pPr>
            <w:r w:rsidRPr="000D6D4A">
              <w:rPr>
                <w:rFonts w:ascii="Times New Roman" w:hAnsi="Times New Roman" w:cs="Times New Roman"/>
                <w:sz w:val="24"/>
                <w:szCs w:val="24"/>
              </w:rPr>
              <w:t>120</w:t>
            </w:r>
          </w:p>
        </w:tc>
      </w:tr>
      <w:tr w:rsidR="0055384F" w:rsidRPr="000D6D4A" w14:paraId="66F2DA4A" w14:textId="77777777" w:rsidTr="00B94137">
        <w:trPr>
          <w:trHeight w:val="33"/>
        </w:trPr>
        <w:tc>
          <w:tcPr>
            <w:tcW w:w="2260" w:type="dxa"/>
            <w:vAlign w:val="center"/>
          </w:tcPr>
          <w:p w14:paraId="27CC6C4A" w14:textId="77777777" w:rsidR="0055384F" w:rsidRPr="000D6D4A" w:rsidRDefault="0055384F" w:rsidP="00B94137">
            <w:pPr>
              <w:pStyle w:val="TableParagraph"/>
              <w:spacing w:line="360" w:lineRule="auto"/>
              <w:ind w:right="385"/>
              <w:jc w:val="center"/>
              <w:rPr>
                <w:rFonts w:ascii="Times New Roman" w:hAnsi="Times New Roman" w:cs="Times New Roman"/>
                <w:sz w:val="24"/>
                <w:szCs w:val="24"/>
              </w:rPr>
            </w:pPr>
            <w:r w:rsidRPr="000D6D4A">
              <w:rPr>
                <w:rFonts w:ascii="Times New Roman" w:hAnsi="Times New Roman" w:cs="Times New Roman"/>
                <w:sz w:val="24"/>
                <w:szCs w:val="24"/>
              </w:rPr>
              <w:t>CAY</w:t>
            </w:r>
            <w:r w:rsidRPr="000D6D4A">
              <w:rPr>
                <w:rFonts w:ascii="Times New Roman" w:hAnsi="Times New Roman" w:cs="Times New Roman"/>
                <w:i/>
                <w:sz w:val="24"/>
                <w:szCs w:val="24"/>
              </w:rPr>
              <w:t>m</w:t>
            </w:r>
            <w:r w:rsidRPr="000D6D4A">
              <w:rPr>
                <w:rFonts w:ascii="Times New Roman" w:hAnsi="Times New Roman" w:cs="Times New Roman"/>
                <w:sz w:val="24"/>
                <w:szCs w:val="24"/>
              </w:rPr>
              <w:t>1</w:t>
            </w:r>
          </w:p>
          <w:p w14:paraId="68631C63" w14:textId="77777777" w:rsidR="0055384F" w:rsidRPr="000D6D4A" w:rsidRDefault="0055384F" w:rsidP="00B94137">
            <w:pPr>
              <w:pStyle w:val="TableParagraph"/>
              <w:spacing w:line="360" w:lineRule="auto"/>
              <w:ind w:right="385"/>
              <w:jc w:val="center"/>
              <w:rPr>
                <w:rFonts w:ascii="Times New Roman" w:hAnsi="Times New Roman" w:cs="Times New Roman"/>
                <w:sz w:val="24"/>
                <w:szCs w:val="24"/>
              </w:rPr>
            </w:pPr>
            <w:r w:rsidRPr="000D6D4A">
              <w:rPr>
                <w:rFonts w:ascii="Times New Roman" w:hAnsi="Times New Roman" w:cs="Times New Roman"/>
                <w:sz w:val="24"/>
                <w:szCs w:val="24"/>
              </w:rPr>
              <w:t>(2019-20)</w:t>
            </w:r>
          </w:p>
        </w:tc>
        <w:tc>
          <w:tcPr>
            <w:tcW w:w="2260" w:type="dxa"/>
            <w:vAlign w:val="center"/>
          </w:tcPr>
          <w:p w14:paraId="3D44E313" w14:textId="77777777" w:rsidR="0055384F" w:rsidRPr="000D6D4A" w:rsidRDefault="0055384F" w:rsidP="00B94137">
            <w:pPr>
              <w:pStyle w:val="TableParagraph"/>
              <w:spacing w:line="360" w:lineRule="auto"/>
              <w:ind w:left="567" w:right="385"/>
              <w:jc w:val="center"/>
              <w:rPr>
                <w:rFonts w:ascii="Times New Roman" w:hAnsi="Times New Roman" w:cs="Times New Roman"/>
                <w:sz w:val="24"/>
                <w:szCs w:val="24"/>
              </w:rPr>
            </w:pPr>
            <w:r w:rsidRPr="000D6D4A">
              <w:rPr>
                <w:rFonts w:ascii="Times New Roman" w:hAnsi="Times New Roman" w:cs="Times New Roman"/>
                <w:sz w:val="24"/>
                <w:szCs w:val="24"/>
              </w:rPr>
              <w:t>21 (17.50%)</w:t>
            </w:r>
          </w:p>
        </w:tc>
        <w:tc>
          <w:tcPr>
            <w:tcW w:w="2260" w:type="dxa"/>
            <w:vAlign w:val="center"/>
          </w:tcPr>
          <w:p w14:paraId="16C812F7" w14:textId="77777777" w:rsidR="0055384F" w:rsidRPr="000D6D4A" w:rsidRDefault="0055384F" w:rsidP="00B94137">
            <w:pPr>
              <w:pStyle w:val="TableParagraph"/>
              <w:spacing w:line="360" w:lineRule="auto"/>
              <w:ind w:left="567" w:right="385"/>
              <w:jc w:val="center"/>
              <w:rPr>
                <w:rFonts w:ascii="Times New Roman" w:hAnsi="Times New Roman" w:cs="Times New Roman"/>
                <w:sz w:val="24"/>
                <w:szCs w:val="24"/>
              </w:rPr>
            </w:pPr>
            <w:r w:rsidRPr="000D6D4A">
              <w:rPr>
                <w:rFonts w:ascii="Times New Roman" w:hAnsi="Times New Roman" w:cs="Times New Roman"/>
                <w:sz w:val="24"/>
                <w:szCs w:val="24"/>
              </w:rPr>
              <w:t>99 (77.50%)</w:t>
            </w:r>
          </w:p>
        </w:tc>
        <w:tc>
          <w:tcPr>
            <w:tcW w:w="2260" w:type="dxa"/>
            <w:vAlign w:val="center"/>
          </w:tcPr>
          <w:p w14:paraId="148C5703" w14:textId="77777777" w:rsidR="0055384F" w:rsidRPr="000D6D4A" w:rsidRDefault="0055384F" w:rsidP="00B94137">
            <w:pPr>
              <w:pStyle w:val="TableParagraph"/>
              <w:spacing w:line="360" w:lineRule="auto"/>
              <w:ind w:left="567" w:right="385"/>
              <w:jc w:val="center"/>
              <w:rPr>
                <w:rFonts w:ascii="Times New Roman" w:hAnsi="Times New Roman" w:cs="Times New Roman"/>
                <w:sz w:val="24"/>
                <w:szCs w:val="24"/>
              </w:rPr>
            </w:pPr>
            <w:r w:rsidRPr="000D6D4A">
              <w:rPr>
                <w:rFonts w:ascii="Times New Roman" w:hAnsi="Times New Roman" w:cs="Times New Roman"/>
                <w:sz w:val="24"/>
                <w:szCs w:val="24"/>
              </w:rPr>
              <w:t>120</w:t>
            </w:r>
          </w:p>
        </w:tc>
      </w:tr>
      <w:tr w:rsidR="0055384F" w:rsidRPr="000D6D4A" w14:paraId="3BE27261" w14:textId="77777777" w:rsidTr="00B94137">
        <w:trPr>
          <w:trHeight w:val="33"/>
        </w:trPr>
        <w:tc>
          <w:tcPr>
            <w:tcW w:w="2260" w:type="dxa"/>
            <w:vAlign w:val="center"/>
          </w:tcPr>
          <w:p w14:paraId="0DAD3EAC" w14:textId="77777777" w:rsidR="0055384F" w:rsidRPr="000D6D4A" w:rsidRDefault="0055384F" w:rsidP="00B94137">
            <w:pPr>
              <w:pStyle w:val="TableParagraph"/>
              <w:spacing w:line="360" w:lineRule="auto"/>
              <w:ind w:right="385"/>
              <w:jc w:val="center"/>
              <w:rPr>
                <w:rFonts w:ascii="Times New Roman" w:hAnsi="Times New Roman" w:cs="Times New Roman"/>
                <w:sz w:val="24"/>
                <w:szCs w:val="24"/>
              </w:rPr>
            </w:pPr>
            <w:r w:rsidRPr="000D6D4A">
              <w:rPr>
                <w:rFonts w:ascii="Times New Roman" w:hAnsi="Times New Roman" w:cs="Times New Roman"/>
                <w:sz w:val="24"/>
                <w:szCs w:val="24"/>
              </w:rPr>
              <w:t>CAY</w:t>
            </w:r>
            <w:r w:rsidRPr="000D6D4A">
              <w:rPr>
                <w:rFonts w:ascii="Times New Roman" w:hAnsi="Times New Roman" w:cs="Times New Roman"/>
                <w:i/>
                <w:sz w:val="24"/>
                <w:szCs w:val="24"/>
              </w:rPr>
              <w:t>m</w:t>
            </w:r>
            <w:r w:rsidRPr="000D6D4A">
              <w:rPr>
                <w:rFonts w:ascii="Times New Roman" w:hAnsi="Times New Roman" w:cs="Times New Roman"/>
                <w:sz w:val="24"/>
                <w:szCs w:val="24"/>
              </w:rPr>
              <w:t>2</w:t>
            </w:r>
          </w:p>
          <w:p w14:paraId="4A4A14A4" w14:textId="77777777" w:rsidR="0055384F" w:rsidRPr="000D6D4A" w:rsidRDefault="0055384F" w:rsidP="00B94137">
            <w:pPr>
              <w:pStyle w:val="TableParagraph"/>
              <w:spacing w:line="360" w:lineRule="auto"/>
              <w:ind w:right="385"/>
              <w:jc w:val="center"/>
              <w:rPr>
                <w:rFonts w:ascii="Times New Roman" w:hAnsi="Times New Roman" w:cs="Times New Roman"/>
                <w:sz w:val="24"/>
                <w:szCs w:val="24"/>
              </w:rPr>
            </w:pPr>
            <w:r w:rsidRPr="000D6D4A">
              <w:rPr>
                <w:rFonts w:ascii="Times New Roman" w:hAnsi="Times New Roman" w:cs="Times New Roman"/>
                <w:sz w:val="24"/>
                <w:szCs w:val="24"/>
              </w:rPr>
              <w:t>(2018-19)</w:t>
            </w:r>
          </w:p>
        </w:tc>
        <w:tc>
          <w:tcPr>
            <w:tcW w:w="2260" w:type="dxa"/>
            <w:vAlign w:val="center"/>
          </w:tcPr>
          <w:p w14:paraId="1706AE59" w14:textId="77777777" w:rsidR="0055384F" w:rsidRPr="000D6D4A" w:rsidRDefault="0055384F" w:rsidP="00B94137">
            <w:pPr>
              <w:pStyle w:val="TableParagraph"/>
              <w:spacing w:line="360" w:lineRule="auto"/>
              <w:ind w:left="567" w:right="385"/>
              <w:jc w:val="center"/>
              <w:rPr>
                <w:rFonts w:ascii="Times New Roman" w:hAnsi="Times New Roman" w:cs="Times New Roman"/>
                <w:sz w:val="24"/>
                <w:szCs w:val="24"/>
              </w:rPr>
            </w:pPr>
            <w:r w:rsidRPr="000D6D4A">
              <w:rPr>
                <w:rFonts w:ascii="Times New Roman" w:hAnsi="Times New Roman" w:cs="Times New Roman"/>
                <w:sz w:val="24"/>
                <w:szCs w:val="24"/>
              </w:rPr>
              <w:t>23</w:t>
            </w:r>
            <w:r w:rsidRPr="000D6D4A">
              <w:rPr>
                <w:rFonts w:ascii="Times New Roman" w:hAnsi="Times New Roman" w:cs="Times New Roman"/>
                <w:color w:val="FF0000"/>
                <w:sz w:val="24"/>
                <w:szCs w:val="24"/>
              </w:rPr>
              <w:t xml:space="preserve"> </w:t>
            </w:r>
            <w:r w:rsidRPr="000D6D4A">
              <w:rPr>
                <w:rFonts w:ascii="Times New Roman" w:hAnsi="Times New Roman" w:cs="Times New Roman"/>
                <w:sz w:val="24"/>
                <w:szCs w:val="24"/>
              </w:rPr>
              <w:t>(19.17%)</w:t>
            </w:r>
          </w:p>
        </w:tc>
        <w:tc>
          <w:tcPr>
            <w:tcW w:w="2260" w:type="dxa"/>
            <w:vAlign w:val="center"/>
          </w:tcPr>
          <w:p w14:paraId="765B4CD8" w14:textId="77777777" w:rsidR="0055384F" w:rsidRPr="000D6D4A" w:rsidRDefault="0055384F" w:rsidP="00B94137">
            <w:pPr>
              <w:pStyle w:val="TableParagraph"/>
              <w:spacing w:line="360" w:lineRule="auto"/>
              <w:ind w:left="567" w:right="385"/>
              <w:jc w:val="center"/>
              <w:rPr>
                <w:rFonts w:ascii="Times New Roman" w:hAnsi="Times New Roman" w:cs="Times New Roman"/>
                <w:sz w:val="24"/>
                <w:szCs w:val="24"/>
              </w:rPr>
            </w:pPr>
            <w:r w:rsidRPr="000D6D4A">
              <w:rPr>
                <w:rFonts w:ascii="Times New Roman" w:hAnsi="Times New Roman" w:cs="Times New Roman"/>
                <w:sz w:val="24"/>
                <w:szCs w:val="24"/>
              </w:rPr>
              <w:t>97 (80.83%)</w:t>
            </w:r>
          </w:p>
        </w:tc>
        <w:tc>
          <w:tcPr>
            <w:tcW w:w="2260" w:type="dxa"/>
            <w:vAlign w:val="center"/>
          </w:tcPr>
          <w:p w14:paraId="279FE35F" w14:textId="77777777" w:rsidR="0055384F" w:rsidRPr="000D6D4A" w:rsidRDefault="0055384F" w:rsidP="00B94137">
            <w:pPr>
              <w:pStyle w:val="TableParagraph"/>
              <w:spacing w:line="360" w:lineRule="auto"/>
              <w:ind w:left="567" w:right="385"/>
              <w:jc w:val="center"/>
              <w:rPr>
                <w:rFonts w:ascii="Times New Roman" w:hAnsi="Times New Roman" w:cs="Times New Roman"/>
                <w:sz w:val="24"/>
                <w:szCs w:val="24"/>
              </w:rPr>
            </w:pPr>
            <w:r w:rsidRPr="000D6D4A">
              <w:rPr>
                <w:rFonts w:ascii="Times New Roman" w:hAnsi="Times New Roman" w:cs="Times New Roman"/>
                <w:sz w:val="24"/>
                <w:szCs w:val="24"/>
              </w:rPr>
              <w:t>120</w:t>
            </w:r>
          </w:p>
        </w:tc>
      </w:tr>
    </w:tbl>
    <w:p w14:paraId="794AB5EC" w14:textId="77777777" w:rsidR="0055384F" w:rsidRPr="000D6D4A" w:rsidRDefault="0055384F" w:rsidP="0055384F">
      <w:pPr>
        <w:pStyle w:val="BodyText"/>
        <w:spacing w:before="3" w:line="360" w:lineRule="auto"/>
        <w:ind w:left="567" w:right="385"/>
        <w:jc w:val="both"/>
        <w:rPr>
          <w:rFonts w:ascii="Times New Roman" w:hAnsi="Times New Roman" w:cs="Times New Roman"/>
          <w:b/>
          <w:sz w:val="24"/>
          <w:szCs w:val="24"/>
        </w:rPr>
      </w:pPr>
    </w:p>
    <w:p w14:paraId="423211E6" w14:textId="77777777" w:rsidR="0055384F" w:rsidRPr="000D6D4A" w:rsidRDefault="0055384F" w:rsidP="0055384F">
      <w:pPr>
        <w:pStyle w:val="BodyText"/>
        <w:spacing w:line="360" w:lineRule="auto"/>
        <w:ind w:left="567" w:right="385"/>
        <w:rPr>
          <w:rFonts w:ascii="Times New Roman" w:hAnsi="Times New Roman" w:cs="Times New Roman"/>
          <w:b/>
          <w:sz w:val="24"/>
          <w:szCs w:val="24"/>
        </w:rPr>
      </w:pPr>
      <w:r w:rsidRPr="000D6D4A">
        <w:rPr>
          <w:rFonts w:ascii="Times New Roman" w:hAnsi="Times New Roman" w:cs="Times New Roman"/>
          <w:noProof/>
          <w:sz w:val="24"/>
          <w:szCs w:val="24"/>
          <w:lang w:val="en-IN" w:eastAsia="en-IN"/>
        </w:rPr>
        <w:drawing>
          <wp:inline distT="0" distB="0" distL="0" distR="0" wp14:anchorId="1E05FEA1" wp14:editId="67063576">
            <wp:extent cx="5267325" cy="2952750"/>
            <wp:effectExtent l="19050" t="19050" r="9525" b="19050"/>
            <wp:docPr id="106" name="Chart 106">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5E58571" w14:textId="77777777" w:rsidR="0055384F" w:rsidRPr="000D6D4A" w:rsidRDefault="0055384F" w:rsidP="0055384F">
      <w:pPr>
        <w:pStyle w:val="BodyText"/>
        <w:spacing w:line="360" w:lineRule="auto"/>
        <w:ind w:left="567" w:right="385"/>
        <w:jc w:val="both"/>
        <w:rPr>
          <w:rFonts w:ascii="Times New Roman" w:hAnsi="Times New Roman" w:cs="Times New Roman"/>
          <w:b/>
          <w:sz w:val="24"/>
          <w:szCs w:val="24"/>
        </w:rPr>
      </w:pPr>
    </w:p>
    <w:p w14:paraId="213CEE35" w14:textId="77777777" w:rsidR="0055384F" w:rsidRDefault="0055384F" w:rsidP="0055384F">
      <w:pPr>
        <w:pStyle w:val="BodyText"/>
        <w:spacing w:before="90" w:line="360" w:lineRule="auto"/>
        <w:ind w:right="-2"/>
        <w:jc w:val="both"/>
        <w:rPr>
          <w:rFonts w:ascii="Times New Roman" w:hAnsi="Times New Roman" w:cs="Times New Roman"/>
          <w:sz w:val="24"/>
          <w:szCs w:val="24"/>
        </w:rPr>
      </w:pPr>
      <w:r w:rsidRPr="000D6D4A">
        <w:rPr>
          <w:rFonts w:ascii="Times New Roman" w:hAnsi="Times New Roman" w:cs="Times New Roman"/>
          <w:sz w:val="24"/>
          <w:szCs w:val="24"/>
        </w:rPr>
        <w:t>Students with a B.E.</w:t>
      </w:r>
      <w:r>
        <w:rPr>
          <w:rFonts w:ascii="Times New Roman" w:hAnsi="Times New Roman" w:cs="Times New Roman"/>
          <w:sz w:val="24"/>
          <w:szCs w:val="24"/>
        </w:rPr>
        <w:t xml:space="preserve"> </w:t>
      </w:r>
      <w:r w:rsidRPr="000D6D4A">
        <w:rPr>
          <w:rFonts w:ascii="Times New Roman" w:hAnsi="Times New Roman" w:cs="Times New Roman"/>
          <w:sz w:val="24"/>
          <w:szCs w:val="24"/>
        </w:rPr>
        <w:t>/</w:t>
      </w:r>
      <w:r>
        <w:rPr>
          <w:rFonts w:ascii="Times New Roman" w:hAnsi="Times New Roman" w:cs="Times New Roman"/>
          <w:sz w:val="24"/>
          <w:szCs w:val="24"/>
        </w:rPr>
        <w:t xml:space="preserve"> </w:t>
      </w:r>
      <w:proofErr w:type="spellStart"/>
      <w:proofErr w:type="gramStart"/>
      <w:r w:rsidRPr="000D6D4A">
        <w:rPr>
          <w:rFonts w:ascii="Times New Roman" w:hAnsi="Times New Roman" w:cs="Times New Roman"/>
          <w:sz w:val="24"/>
          <w:szCs w:val="24"/>
        </w:rPr>
        <w:t>B.Tech</w:t>
      </w:r>
      <w:proofErr w:type="spellEnd"/>
      <w:proofErr w:type="gramEnd"/>
      <w:r>
        <w:rPr>
          <w:rFonts w:ascii="Times New Roman" w:hAnsi="Times New Roman" w:cs="Times New Roman"/>
          <w:sz w:val="24"/>
          <w:szCs w:val="24"/>
        </w:rPr>
        <w:t xml:space="preserve"> </w:t>
      </w:r>
      <w:r w:rsidRPr="000D6D4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0D6D4A">
        <w:rPr>
          <w:rFonts w:ascii="Times New Roman" w:hAnsi="Times New Roman" w:cs="Times New Roman"/>
          <w:sz w:val="24"/>
          <w:szCs w:val="24"/>
        </w:rPr>
        <w:t>B.Sc</w:t>
      </w:r>
      <w:proofErr w:type="spellEnd"/>
      <w:r>
        <w:rPr>
          <w:rFonts w:ascii="Times New Roman" w:hAnsi="Times New Roman" w:cs="Times New Roman"/>
          <w:sz w:val="24"/>
          <w:szCs w:val="24"/>
        </w:rPr>
        <w:t xml:space="preserve"> </w:t>
      </w:r>
      <w:r w:rsidRPr="000D6D4A">
        <w:rPr>
          <w:rFonts w:ascii="Times New Roman" w:hAnsi="Times New Roman" w:cs="Times New Roman"/>
          <w:sz w:val="24"/>
          <w:szCs w:val="24"/>
        </w:rPr>
        <w:t>/</w:t>
      </w:r>
      <w:r>
        <w:rPr>
          <w:rFonts w:ascii="Times New Roman" w:hAnsi="Times New Roman" w:cs="Times New Roman"/>
          <w:sz w:val="24"/>
          <w:szCs w:val="24"/>
        </w:rPr>
        <w:t xml:space="preserve"> </w:t>
      </w:r>
      <w:r w:rsidRPr="000D6D4A">
        <w:rPr>
          <w:rFonts w:ascii="Times New Roman" w:hAnsi="Times New Roman" w:cs="Times New Roman"/>
          <w:sz w:val="24"/>
          <w:szCs w:val="24"/>
        </w:rPr>
        <w:t>B.A.F</w:t>
      </w:r>
      <w:r>
        <w:rPr>
          <w:rFonts w:ascii="Times New Roman" w:hAnsi="Times New Roman" w:cs="Times New Roman"/>
          <w:sz w:val="24"/>
          <w:szCs w:val="24"/>
        </w:rPr>
        <w:t xml:space="preserve"> </w:t>
      </w:r>
      <w:r w:rsidRPr="000D6D4A">
        <w:rPr>
          <w:rFonts w:ascii="Times New Roman" w:hAnsi="Times New Roman" w:cs="Times New Roman"/>
          <w:sz w:val="24"/>
          <w:szCs w:val="24"/>
        </w:rPr>
        <w:t>/</w:t>
      </w:r>
      <w:r>
        <w:rPr>
          <w:rFonts w:ascii="Times New Roman" w:hAnsi="Times New Roman" w:cs="Times New Roman"/>
          <w:sz w:val="24"/>
          <w:szCs w:val="24"/>
        </w:rPr>
        <w:t xml:space="preserve"> </w:t>
      </w:r>
      <w:r w:rsidRPr="000D6D4A">
        <w:rPr>
          <w:rFonts w:ascii="Times New Roman" w:hAnsi="Times New Roman" w:cs="Times New Roman"/>
          <w:sz w:val="24"/>
          <w:szCs w:val="24"/>
        </w:rPr>
        <w:t>B.Com</w:t>
      </w:r>
      <w:r>
        <w:rPr>
          <w:rFonts w:ascii="Times New Roman" w:hAnsi="Times New Roman" w:cs="Times New Roman"/>
          <w:sz w:val="24"/>
          <w:szCs w:val="24"/>
        </w:rPr>
        <w:t xml:space="preserve"> </w:t>
      </w:r>
      <w:r w:rsidRPr="000D6D4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0D6D4A">
        <w:rPr>
          <w:rFonts w:ascii="Times New Roman" w:hAnsi="Times New Roman" w:cs="Times New Roman"/>
          <w:sz w:val="24"/>
          <w:szCs w:val="24"/>
        </w:rPr>
        <w:t>B.Pharm</w:t>
      </w:r>
      <w:proofErr w:type="spellEnd"/>
      <w:r>
        <w:rPr>
          <w:rFonts w:ascii="Times New Roman" w:hAnsi="Times New Roman" w:cs="Times New Roman"/>
          <w:sz w:val="24"/>
          <w:szCs w:val="24"/>
        </w:rPr>
        <w:t xml:space="preserve"> </w:t>
      </w:r>
      <w:r w:rsidRPr="000D6D4A">
        <w:rPr>
          <w:rFonts w:ascii="Times New Roman" w:hAnsi="Times New Roman" w:cs="Times New Roman"/>
          <w:sz w:val="24"/>
          <w:szCs w:val="24"/>
        </w:rPr>
        <w:t>/</w:t>
      </w:r>
      <w:r>
        <w:rPr>
          <w:rFonts w:ascii="Times New Roman" w:hAnsi="Times New Roman" w:cs="Times New Roman"/>
          <w:sz w:val="24"/>
          <w:szCs w:val="24"/>
        </w:rPr>
        <w:t xml:space="preserve"> </w:t>
      </w:r>
      <w:r w:rsidRPr="000D6D4A">
        <w:rPr>
          <w:rFonts w:ascii="Times New Roman" w:hAnsi="Times New Roman" w:cs="Times New Roman"/>
          <w:sz w:val="24"/>
          <w:szCs w:val="24"/>
        </w:rPr>
        <w:t>B.A. background are referred to as 'Other Stream' students. Throughout the three years, the number of students from the 'Other Stream Background' has been found to be higher than those from the Management Stream. This reflects largely on the diversity of students applying to our Institute, who come from a variety of educational backgrounds. This adds a great deal of variety and complexity to classroom discussions.</w:t>
      </w:r>
    </w:p>
    <w:p w14:paraId="765E3B76" w14:textId="77777777" w:rsidR="0055384F" w:rsidRDefault="0055384F"/>
    <w:sectPr w:rsidR="005538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95"/>
    <w:rsid w:val="0055384F"/>
    <w:rsid w:val="00905E95"/>
    <w:rsid w:val="00A238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6FDC2"/>
  <w15:chartTrackingRefBased/>
  <w15:docId w15:val="{446D353D-8346-4F31-AB00-99A9ABB8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1"/>
    <w:qFormat/>
    <w:rsid w:val="0055384F"/>
    <w:pPr>
      <w:widowControl w:val="0"/>
      <w:autoSpaceDE w:val="0"/>
      <w:autoSpaceDN w:val="0"/>
      <w:spacing w:after="0" w:line="240" w:lineRule="auto"/>
      <w:ind w:left="1662"/>
      <w:outlineLvl w:val="1"/>
    </w:pPr>
    <w:rPr>
      <w:rFonts w:ascii="Calibri" w:eastAsia="Calibri" w:hAnsi="Calibri" w:cs="Calibr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5384F"/>
    <w:rPr>
      <w:rFonts w:ascii="Calibri" w:eastAsia="Calibri" w:hAnsi="Calibri" w:cs="Calibri"/>
      <w:sz w:val="24"/>
      <w:szCs w:val="24"/>
      <w:lang w:val="en-US"/>
    </w:rPr>
  </w:style>
  <w:style w:type="paragraph" w:styleId="BodyText">
    <w:name w:val="Body Text"/>
    <w:basedOn w:val="Normal"/>
    <w:link w:val="BodyTextChar"/>
    <w:uiPriority w:val="1"/>
    <w:qFormat/>
    <w:rsid w:val="0055384F"/>
    <w:pPr>
      <w:widowControl w:val="0"/>
      <w:autoSpaceDE w:val="0"/>
      <w:autoSpaceDN w:val="0"/>
      <w:spacing w:after="0" w:line="240" w:lineRule="auto"/>
    </w:pPr>
    <w:rPr>
      <w:rFonts w:ascii="Verdana" w:eastAsia="Verdana" w:hAnsi="Verdana" w:cs="Verdana"/>
      <w:sz w:val="18"/>
      <w:szCs w:val="18"/>
      <w:lang w:val="en-US"/>
    </w:rPr>
  </w:style>
  <w:style w:type="character" w:customStyle="1" w:styleId="BodyTextChar">
    <w:name w:val="Body Text Char"/>
    <w:basedOn w:val="DefaultParagraphFont"/>
    <w:link w:val="BodyText"/>
    <w:uiPriority w:val="1"/>
    <w:rsid w:val="0055384F"/>
    <w:rPr>
      <w:rFonts w:ascii="Verdana" w:eastAsia="Verdana" w:hAnsi="Verdana" w:cs="Verdana"/>
      <w:sz w:val="18"/>
      <w:szCs w:val="18"/>
      <w:lang w:val="en-US"/>
    </w:rPr>
  </w:style>
  <w:style w:type="paragraph" w:customStyle="1" w:styleId="TableParagraph">
    <w:name w:val="Table Paragraph"/>
    <w:basedOn w:val="Normal"/>
    <w:uiPriority w:val="1"/>
    <w:qFormat/>
    <w:rsid w:val="0055384F"/>
    <w:pPr>
      <w:widowControl w:val="0"/>
      <w:autoSpaceDE w:val="0"/>
      <w:autoSpaceDN w:val="0"/>
      <w:spacing w:after="0" w:line="240" w:lineRule="auto"/>
    </w:pPr>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IN" b="1">
                <a:solidFill>
                  <a:sysClr val="windowText" lastClr="000000"/>
                </a:solidFill>
              </a:rPr>
              <a:t>Gender Bifurcation</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Sheet1!$C$50</c:f>
              <c:strCache>
                <c:ptCount val="1"/>
                <c:pt idx="0">
                  <c:v>Males</c:v>
                </c:pt>
              </c:strCache>
            </c:strRef>
          </c:tx>
          <c:spPr>
            <a:solidFill>
              <a:schemeClr val="accent1"/>
            </a:solidFill>
            <a:ln>
              <a:noFill/>
            </a:ln>
            <a:effectLst/>
            <a:sp3d/>
          </c:spPr>
          <c:invertIfNegative val="0"/>
          <c:dLbls>
            <c:dLbl>
              <c:idx val="0"/>
              <c:layout>
                <c:manualLayout>
                  <c:x val="1.2506830054841351E-3"/>
                  <c:y val="0.15458934584564801"/>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FCD372B2-351E-4785-B897-6F8827B4BC4F}" type="VALUE">
                      <a:rPr lang="en-US">
                        <a:solidFill>
                          <a:schemeClr val="bg1"/>
                        </a:solidFill>
                      </a:rPr>
                      <a:pPr>
                        <a:defRPr/>
                      </a:pPr>
                      <a:t>[VALUE]</a:t>
                    </a:fld>
                    <a:endParaRPr lang="en-US">
                      <a:solidFill>
                        <a:schemeClr val="bg1"/>
                      </a:solidFill>
                    </a:endParaRPr>
                  </a:p>
                  <a:p>
                    <a:pPr>
                      <a:defRPr/>
                    </a:pPr>
                    <a:r>
                      <a:rPr lang="en-US">
                        <a:solidFill>
                          <a:schemeClr val="bg1"/>
                        </a:solidFill>
                      </a:rPr>
                      <a:t>45.8%</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9.535958096653302E-2"/>
                      <c:h val="0.14593680568775183"/>
                    </c:manualLayout>
                  </c15:layout>
                  <c15:dlblFieldTable/>
                  <c15:showDataLabelsRange val="0"/>
                </c:ext>
                <c:ext xmlns:c16="http://schemas.microsoft.com/office/drawing/2014/chart" uri="{C3380CC4-5D6E-409C-BE32-E72D297353CC}">
                  <c16:uniqueId val="{00000000-1EC5-40DB-9C2B-B0EB86D34840}"/>
                </c:ext>
              </c:extLst>
            </c:dLbl>
            <c:dLbl>
              <c:idx val="1"/>
              <c:layout>
                <c:manualLayout>
                  <c:x val="-2.5015629844316115E-3"/>
                  <c:y val="0.14180495571786159"/>
                </c:manualLayout>
              </c:layout>
              <c:tx>
                <c:rich>
                  <a:bodyPr/>
                  <a:lstStyle/>
                  <a:p>
                    <a:fld id="{731351B7-A4DE-4BE6-BC43-B8DE92B6ABDF}" type="VALUE">
                      <a:rPr lang="en-US">
                        <a:solidFill>
                          <a:schemeClr val="bg1"/>
                        </a:solidFill>
                      </a:rPr>
                      <a:pPr/>
                      <a:t>[VALUE]</a:t>
                    </a:fld>
                    <a:endParaRPr lang="en-US">
                      <a:solidFill>
                        <a:schemeClr val="bg1"/>
                      </a:solidFill>
                    </a:endParaRPr>
                  </a:p>
                  <a:p>
                    <a:r>
                      <a:rPr lang="en-US">
                        <a:solidFill>
                          <a:schemeClr val="bg1"/>
                        </a:solidFill>
                      </a:rPr>
                      <a:t>49.2%</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EC5-40DB-9C2B-B0EB86D34840}"/>
                </c:ext>
              </c:extLst>
            </c:dLbl>
            <c:dLbl>
              <c:idx val="2"/>
              <c:layout>
                <c:manualLayout>
                  <c:x val="-9.1722916504867271E-17"/>
                  <c:y val="0.13741275186279817"/>
                </c:manualLayout>
              </c:layout>
              <c:tx>
                <c:rich>
                  <a:bodyPr/>
                  <a:lstStyle/>
                  <a:p>
                    <a:fld id="{E4F17CE0-9ADD-44BD-B83E-65AC27B3C2B1}" type="VALUE">
                      <a:rPr lang="en-US">
                        <a:solidFill>
                          <a:schemeClr val="bg1"/>
                        </a:solidFill>
                      </a:rPr>
                      <a:pPr/>
                      <a:t>[VALUE]</a:t>
                    </a:fld>
                    <a:endParaRPr lang="en-US">
                      <a:solidFill>
                        <a:schemeClr val="bg1"/>
                      </a:solidFill>
                    </a:endParaRPr>
                  </a:p>
                  <a:p>
                    <a:r>
                      <a:rPr lang="en-US">
                        <a:solidFill>
                          <a:schemeClr val="bg1"/>
                        </a:solidFill>
                      </a:rPr>
                      <a:t>43.3%</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1EC5-40DB-9C2B-B0EB86D3484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Sheet1!$B$51:$B$53</c:f>
              <c:strCache>
                <c:ptCount val="3"/>
                <c:pt idx="0">
                  <c:v>2020-21</c:v>
                </c:pt>
                <c:pt idx="1">
                  <c:v>2019-20</c:v>
                </c:pt>
                <c:pt idx="2">
                  <c:v>2018-19</c:v>
                </c:pt>
              </c:strCache>
            </c:strRef>
          </c:cat>
          <c:val>
            <c:numRef>
              <c:f>Sheet1!$C$51:$C$53</c:f>
              <c:numCache>
                <c:formatCode>General</c:formatCode>
                <c:ptCount val="3"/>
                <c:pt idx="0">
                  <c:v>55</c:v>
                </c:pt>
                <c:pt idx="1">
                  <c:v>59</c:v>
                </c:pt>
                <c:pt idx="2">
                  <c:v>52</c:v>
                </c:pt>
              </c:numCache>
            </c:numRef>
          </c:val>
          <c:extLst>
            <c:ext xmlns:c16="http://schemas.microsoft.com/office/drawing/2014/chart" uri="{C3380CC4-5D6E-409C-BE32-E72D297353CC}">
              <c16:uniqueId val="{00000003-1EC5-40DB-9C2B-B0EB86D34840}"/>
            </c:ext>
          </c:extLst>
        </c:ser>
        <c:ser>
          <c:idx val="1"/>
          <c:order val="1"/>
          <c:tx>
            <c:strRef>
              <c:f>Sheet1!$D$50</c:f>
              <c:strCache>
                <c:ptCount val="1"/>
                <c:pt idx="0">
                  <c:v>Females</c:v>
                </c:pt>
              </c:strCache>
            </c:strRef>
          </c:tx>
          <c:spPr>
            <a:solidFill>
              <a:schemeClr val="accent2"/>
            </a:solidFill>
            <a:ln>
              <a:noFill/>
            </a:ln>
            <a:effectLst/>
            <a:sp3d/>
          </c:spPr>
          <c:invertIfNegative val="0"/>
          <c:dLbls>
            <c:dLbl>
              <c:idx val="0"/>
              <c:layout>
                <c:manualLayout>
                  <c:x val="2.5015629844316115E-3"/>
                  <c:y val="0.12238306306684028"/>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E91128C4-3259-409A-B8E5-D83E29676DCD}" type="VALUE">
                      <a:rPr lang="en-US">
                        <a:solidFill>
                          <a:schemeClr val="bg1"/>
                        </a:solidFill>
                      </a:rPr>
                      <a:pPr>
                        <a:defRPr/>
                      </a:pPr>
                      <a:t>[VALUE]</a:t>
                    </a:fld>
                    <a:endParaRPr lang="en-US">
                      <a:solidFill>
                        <a:schemeClr val="bg1"/>
                      </a:solidFill>
                    </a:endParaRPr>
                  </a:p>
                  <a:p>
                    <a:pPr>
                      <a:defRPr/>
                    </a:pPr>
                    <a:r>
                      <a:rPr lang="en-US">
                        <a:solidFill>
                          <a:schemeClr val="bg1"/>
                        </a:solidFill>
                      </a:rPr>
                      <a:t>54.2%</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8.7854892013238192E-2"/>
                      <c:h val="0.13305436020061448"/>
                    </c:manualLayout>
                  </c15:layout>
                  <c15:dlblFieldTable/>
                  <c15:showDataLabelsRange val="0"/>
                </c:ext>
                <c:ext xmlns:c16="http://schemas.microsoft.com/office/drawing/2014/chart" uri="{C3380CC4-5D6E-409C-BE32-E72D297353CC}">
                  <c16:uniqueId val="{00000004-1EC5-40DB-9C2B-B0EB86D34840}"/>
                </c:ext>
              </c:extLst>
            </c:dLbl>
            <c:dLbl>
              <c:idx val="1"/>
              <c:layout>
                <c:manualLayout>
                  <c:x val="7.5046889532948344E-3"/>
                  <c:y val="0.133794001919856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6E78E94C-DEF7-407E-A653-D5DA65978538}" type="VALUE">
                      <a:rPr lang="en-US">
                        <a:solidFill>
                          <a:schemeClr val="bg1"/>
                        </a:solidFill>
                      </a:rPr>
                      <a:pPr>
                        <a:defRPr/>
                      </a:pPr>
                      <a:t>[VALUE]</a:t>
                    </a:fld>
                    <a:endParaRPr lang="en-US">
                      <a:solidFill>
                        <a:schemeClr val="bg1"/>
                      </a:solidFill>
                    </a:endParaRPr>
                  </a:p>
                  <a:p>
                    <a:pPr>
                      <a:defRPr/>
                    </a:pPr>
                    <a:r>
                      <a:rPr lang="en-US">
                        <a:solidFill>
                          <a:schemeClr val="bg1"/>
                        </a:solidFill>
                      </a:rPr>
                      <a:t>50.8%</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9.7861143950964638E-2"/>
                      <c:h val="0.19746658763630115"/>
                    </c:manualLayout>
                  </c15:layout>
                  <c15:dlblFieldTable/>
                  <c15:showDataLabelsRange val="0"/>
                </c:ext>
                <c:ext xmlns:c16="http://schemas.microsoft.com/office/drawing/2014/chart" uri="{C3380CC4-5D6E-409C-BE32-E72D297353CC}">
                  <c16:uniqueId val="{00000005-1EC5-40DB-9C2B-B0EB86D34840}"/>
                </c:ext>
              </c:extLst>
            </c:dLbl>
            <c:dLbl>
              <c:idx val="2"/>
              <c:layout>
                <c:manualLayout>
                  <c:x val="2.5015629844315195E-3"/>
                  <c:y val="0.11236163628021247"/>
                </c:manualLayout>
              </c:layout>
              <c:tx>
                <c:rich>
                  <a:bodyPr/>
                  <a:lstStyle/>
                  <a:p>
                    <a:fld id="{55AD4641-4D79-46B6-BC31-5379254899E5}" type="VALUE">
                      <a:rPr lang="en-US">
                        <a:solidFill>
                          <a:schemeClr val="bg1"/>
                        </a:solidFill>
                      </a:rPr>
                      <a:pPr/>
                      <a:t>[VALUE]</a:t>
                    </a:fld>
                    <a:endParaRPr lang="en-US">
                      <a:solidFill>
                        <a:schemeClr val="bg1"/>
                      </a:solidFill>
                    </a:endParaRPr>
                  </a:p>
                  <a:p>
                    <a:r>
                      <a:rPr lang="en-US">
                        <a:solidFill>
                          <a:schemeClr val="bg1"/>
                        </a:solidFill>
                      </a:rPr>
                      <a:t>56.7%</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1EC5-40DB-9C2B-B0EB86D3484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Sheet1!$B$51:$B$53</c:f>
              <c:strCache>
                <c:ptCount val="3"/>
                <c:pt idx="0">
                  <c:v>2020-21</c:v>
                </c:pt>
                <c:pt idx="1">
                  <c:v>2019-20</c:v>
                </c:pt>
                <c:pt idx="2">
                  <c:v>2018-19</c:v>
                </c:pt>
              </c:strCache>
            </c:strRef>
          </c:cat>
          <c:val>
            <c:numRef>
              <c:f>Sheet1!$D$51:$D$53</c:f>
              <c:numCache>
                <c:formatCode>General</c:formatCode>
                <c:ptCount val="3"/>
                <c:pt idx="0">
                  <c:v>65</c:v>
                </c:pt>
                <c:pt idx="1">
                  <c:v>61</c:v>
                </c:pt>
                <c:pt idx="2">
                  <c:v>68</c:v>
                </c:pt>
              </c:numCache>
            </c:numRef>
          </c:val>
          <c:extLst>
            <c:ext xmlns:c16="http://schemas.microsoft.com/office/drawing/2014/chart" uri="{C3380CC4-5D6E-409C-BE32-E72D297353CC}">
              <c16:uniqueId val="{00000007-1EC5-40DB-9C2B-B0EB86D34840}"/>
            </c:ext>
          </c:extLst>
        </c:ser>
        <c:dLbls>
          <c:showLegendKey val="0"/>
          <c:showVal val="1"/>
          <c:showCatName val="0"/>
          <c:showSerName val="0"/>
          <c:showPercent val="0"/>
          <c:showBubbleSize val="0"/>
        </c:dLbls>
        <c:gapWidth val="150"/>
        <c:shape val="box"/>
        <c:axId val="637151560"/>
        <c:axId val="637154304"/>
        <c:axId val="583022056"/>
      </c:bar3DChart>
      <c:catAx>
        <c:axId val="637151560"/>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7154304"/>
        <c:crosses val="autoZero"/>
        <c:auto val="1"/>
        <c:lblAlgn val="ctr"/>
        <c:lblOffset val="100"/>
        <c:noMultiLvlLbl val="0"/>
      </c:catAx>
      <c:valAx>
        <c:axId val="6371543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Numbers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7151560"/>
        <c:crosses val="autoZero"/>
        <c:crossBetween val="between"/>
      </c:valAx>
      <c:serAx>
        <c:axId val="583022056"/>
        <c:scaling>
          <c:orientation val="minMax"/>
        </c:scaling>
        <c:delete val="1"/>
        <c:axPos val="b"/>
        <c:majorTickMark val="none"/>
        <c:minorTickMark val="none"/>
        <c:tickLblPos val="nextTo"/>
        <c:crossAx val="637154304"/>
        <c:crosses val="autoZero"/>
      </c:ser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28575" cap="flat" cmpd="sng" algn="ctr">
      <a:solidFill>
        <a:sysClr val="windowText" lastClr="000000"/>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IN" b="1">
                <a:solidFill>
                  <a:sysClr val="windowText" lastClr="000000"/>
                </a:solidFill>
              </a:rPr>
              <a:t>Experienced v/s Fresher</a:t>
            </a:r>
          </a:p>
        </c:rich>
      </c:tx>
      <c:overlay val="0"/>
      <c:spPr>
        <a:noFill/>
        <a:ln>
          <a:solidFill>
            <a:sysClr val="window" lastClr="FFFFFF"/>
          </a:solid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Sheet1!$C$65</c:f>
              <c:strCache>
                <c:ptCount val="1"/>
                <c:pt idx="0">
                  <c:v>Experienced</c:v>
                </c:pt>
              </c:strCache>
            </c:strRef>
          </c:tx>
          <c:spPr>
            <a:solidFill>
              <a:schemeClr val="accent1"/>
            </a:solidFill>
            <a:ln>
              <a:noFill/>
            </a:ln>
            <a:effectLst/>
            <a:sp3d/>
          </c:spPr>
          <c:invertIfNegative val="0"/>
          <c:dLbls>
            <c:dLbl>
              <c:idx val="0"/>
              <c:layout>
                <c:manualLayout>
                  <c:x val="-2.7777777777777779E-3"/>
                  <c:y val="0.13432050160396608"/>
                </c:manualLayout>
              </c:layout>
              <c:tx>
                <c:rich>
                  <a:bodyPr/>
                  <a:lstStyle/>
                  <a:p>
                    <a:fld id="{CC98DA46-E441-4264-A54C-97ECAA65F10F}" type="VALUE">
                      <a:rPr lang="en-US">
                        <a:solidFill>
                          <a:schemeClr val="bg1"/>
                        </a:solidFill>
                      </a:rPr>
                      <a:pPr/>
                      <a:t>[VALUE]</a:t>
                    </a:fld>
                    <a:endParaRPr lang="en-US">
                      <a:solidFill>
                        <a:schemeClr val="bg1"/>
                      </a:solidFill>
                    </a:endParaRPr>
                  </a:p>
                  <a:p>
                    <a:r>
                      <a:rPr lang="en-US">
                        <a:solidFill>
                          <a:schemeClr val="bg1"/>
                        </a:solidFill>
                      </a:rPr>
                      <a:t>55.8%</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26E1-4F09-9E6A-3957A826FEA5}"/>
                </c:ext>
              </c:extLst>
            </c:dLbl>
            <c:dLbl>
              <c:idx val="1"/>
              <c:layout>
                <c:manualLayout>
                  <c:x val="8.3333333333333332E-3"/>
                  <c:y val="7.8029308836395445E-2"/>
                </c:manualLayout>
              </c:layout>
              <c:tx>
                <c:rich>
                  <a:bodyPr/>
                  <a:lstStyle/>
                  <a:p>
                    <a:fld id="{8E9CED00-F7ED-46DA-A039-9471E4F771B2}" type="VALUE">
                      <a:rPr lang="en-US">
                        <a:solidFill>
                          <a:schemeClr val="bg1"/>
                        </a:solidFill>
                      </a:rPr>
                      <a:pPr/>
                      <a:t>[VALUE]</a:t>
                    </a:fld>
                    <a:endParaRPr lang="en-US">
                      <a:solidFill>
                        <a:schemeClr val="bg1"/>
                      </a:solidFill>
                    </a:endParaRPr>
                  </a:p>
                  <a:p>
                    <a:r>
                      <a:rPr lang="en-US">
                        <a:solidFill>
                          <a:schemeClr val="bg1"/>
                        </a:solidFill>
                      </a:rPr>
                      <a:t>22.5%</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6E1-4F09-9E6A-3957A826FEA5}"/>
                </c:ext>
              </c:extLst>
            </c:dLbl>
            <c:dLbl>
              <c:idx val="2"/>
              <c:layout>
                <c:manualLayout>
                  <c:x val="8.3333333333333332E-3"/>
                  <c:y val="9.6694736074657339E-2"/>
                </c:manualLayout>
              </c:layout>
              <c:tx>
                <c:rich>
                  <a:bodyPr/>
                  <a:lstStyle/>
                  <a:p>
                    <a:fld id="{EB914319-1BDF-423A-98E2-071A99D1CEBB}" type="VALUE">
                      <a:rPr lang="en-US">
                        <a:solidFill>
                          <a:schemeClr val="bg1"/>
                        </a:solidFill>
                      </a:rPr>
                      <a:pPr/>
                      <a:t>[VALUE]</a:t>
                    </a:fld>
                    <a:endParaRPr lang="en-US">
                      <a:solidFill>
                        <a:schemeClr val="bg1"/>
                      </a:solidFill>
                    </a:endParaRPr>
                  </a:p>
                  <a:p>
                    <a:r>
                      <a:rPr lang="en-US">
                        <a:solidFill>
                          <a:schemeClr val="bg1"/>
                        </a:solidFill>
                      </a:rPr>
                      <a:t>29.2%</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26E1-4F09-9E6A-3957A826FE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Sheet1!$B$66:$B$68</c:f>
              <c:strCache>
                <c:ptCount val="3"/>
                <c:pt idx="0">
                  <c:v>2020-21</c:v>
                </c:pt>
                <c:pt idx="1">
                  <c:v>2019-20</c:v>
                </c:pt>
                <c:pt idx="2">
                  <c:v>2018-19</c:v>
                </c:pt>
              </c:strCache>
            </c:strRef>
          </c:cat>
          <c:val>
            <c:numRef>
              <c:f>Sheet1!$C$66:$C$68</c:f>
              <c:numCache>
                <c:formatCode>General</c:formatCode>
                <c:ptCount val="3"/>
                <c:pt idx="0">
                  <c:v>67</c:v>
                </c:pt>
                <c:pt idx="1">
                  <c:v>27</c:v>
                </c:pt>
                <c:pt idx="2">
                  <c:v>35</c:v>
                </c:pt>
              </c:numCache>
            </c:numRef>
          </c:val>
          <c:extLst>
            <c:ext xmlns:c16="http://schemas.microsoft.com/office/drawing/2014/chart" uri="{C3380CC4-5D6E-409C-BE32-E72D297353CC}">
              <c16:uniqueId val="{00000003-26E1-4F09-9E6A-3957A826FEA5}"/>
            </c:ext>
          </c:extLst>
        </c:ser>
        <c:ser>
          <c:idx val="1"/>
          <c:order val="1"/>
          <c:tx>
            <c:strRef>
              <c:f>Sheet1!$D$65</c:f>
              <c:strCache>
                <c:ptCount val="1"/>
                <c:pt idx="0">
                  <c:v>Fresher</c:v>
                </c:pt>
              </c:strCache>
            </c:strRef>
          </c:tx>
          <c:spPr>
            <a:solidFill>
              <a:schemeClr val="accent2"/>
            </a:solidFill>
            <a:ln>
              <a:noFill/>
            </a:ln>
            <a:effectLst/>
            <a:sp3d/>
          </c:spPr>
          <c:invertIfNegative val="0"/>
          <c:dLbls>
            <c:dLbl>
              <c:idx val="0"/>
              <c:layout>
                <c:manualLayout>
                  <c:x val="2.7777777777777776E-2"/>
                  <c:y val="9.7773767862350536E-2"/>
                </c:manualLayout>
              </c:layout>
              <c:tx>
                <c:rich>
                  <a:bodyPr/>
                  <a:lstStyle/>
                  <a:p>
                    <a:fld id="{F50971B8-58CF-49C8-861E-B0EA4FC63F6A}" type="VALUE">
                      <a:rPr lang="en-US">
                        <a:solidFill>
                          <a:schemeClr val="bg1"/>
                        </a:solidFill>
                      </a:rPr>
                      <a:pPr/>
                      <a:t>[VALUE]</a:t>
                    </a:fld>
                    <a:endParaRPr lang="en-US">
                      <a:solidFill>
                        <a:schemeClr val="bg1"/>
                      </a:solidFill>
                    </a:endParaRPr>
                  </a:p>
                  <a:p>
                    <a:r>
                      <a:rPr lang="en-US">
                        <a:solidFill>
                          <a:schemeClr val="bg1"/>
                        </a:solidFill>
                      </a:rPr>
                      <a:t>44.2%</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26E1-4F09-9E6A-3957A826FEA5}"/>
                </c:ext>
              </c:extLst>
            </c:dLbl>
            <c:dLbl>
              <c:idx val="1"/>
              <c:layout>
                <c:manualLayout>
                  <c:x val="2.777777777777676E-3"/>
                  <c:y val="0.13554644211140274"/>
                </c:manualLayout>
              </c:layout>
              <c:tx>
                <c:rich>
                  <a:bodyPr/>
                  <a:lstStyle/>
                  <a:p>
                    <a:fld id="{EB9AB3D2-6AE0-4B44-91A8-15C4C46BDEAE}" type="VALUE">
                      <a:rPr lang="en-US">
                        <a:solidFill>
                          <a:schemeClr val="bg1"/>
                        </a:solidFill>
                      </a:rPr>
                      <a:pPr/>
                      <a:t>[VALUE]</a:t>
                    </a:fld>
                    <a:endParaRPr lang="en-US">
                      <a:solidFill>
                        <a:schemeClr val="bg1"/>
                      </a:solidFill>
                    </a:endParaRPr>
                  </a:p>
                  <a:p>
                    <a:r>
                      <a:rPr lang="en-US">
                        <a:solidFill>
                          <a:schemeClr val="bg1"/>
                        </a:solidFill>
                      </a:rPr>
                      <a:t>77.5%</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6E1-4F09-9E6A-3957A826FEA5}"/>
                </c:ext>
              </c:extLst>
            </c:dLbl>
            <c:dLbl>
              <c:idx val="2"/>
              <c:layout>
                <c:manualLayout>
                  <c:x val="2.777777777777676E-3"/>
                  <c:y val="0.12614027413240012"/>
                </c:manualLayout>
              </c:layout>
              <c:tx>
                <c:rich>
                  <a:bodyPr/>
                  <a:lstStyle/>
                  <a:p>
                    <a:fld id="{5C35191A-CA66-4112-8100-8FC6E308C76F}" type="VALUE">
                      <a:rPr lang="en-US">
                        <a:solidFill>
                          <a:schemeClr val="bg1"/>
                        </a:solidFill>
                      </a:rPr>
                      <a:pPr/>
                      <a:t>[VALUE]</a:t>
                    </a:fld>
                    <a:endParaRPr lang="en-US">
                      <a:solidFill>
                        <a:schemeClr val="bg1"/>
                      </a:solidFill>
                    </a:endParaRPr>
                  </a:p>
                  <a:p>
                    <a:r>
                      <a:rPr lang="en-US">
                        <a:solidFill>
                          <a:schemeClr val="bg1"/>
                        </a:solidFill>
                      </a:rPr>
                      <a:t>70.8%</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26E1-4F09-9E6A-3957A826FE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Sheet1!$B$66:$B$68</c:f>
              <c:strCache>
                <c:ptCount val="3"/>
                <c:pt idx="0">
                  <c:v>2020-21</c:v>
                </c:pt>
                <c:pt idx="1">
                  <c:v>2019-20</c:v>
                </c:pt>
                <c:pt idx="2">
                  <c:v>2018-19</c:v>
                </c:pt>
              </c:strCache>
            </c:strRef>
          </c:cat>
          <c:val>
            <c:numRef>
              <c:f>Sheet1!$D$66:$D$68</c:f>
              <c:numCache>
                <c:formatCode>General</c:formatCode>
                <c:ptCount val="3"/>
                <c:pt idx="0">
                  <c:v>53</c:v>
                </c:pt>
                <c:pt idx="1">
                  <c:v>93</c:v>
                </c:pt>
                <c:pt idx="2">
                  <c:v>85</c:v>
                </c:pt>
              </c:numCache>
            </c:numRef>
          </c:val>
          <c:extLst>
            <c:ext xmlns:c16="http://schemas.microsoft.com/office/drawing/2014/chart" uri="{C3380CC4-5D6E-409C-BE32-E72D297353CC}">
              <c16:uniqueId val="{00000007-26E1-4F09-9E6A-3957A826FEA5}"/>
            </c:ext>
          </c:extLst>
        </c:ser>
        <c:dLbls>
          <c:showLegendKey val="0"/>
          <c:showVal val="1"/>
          <c:showCatName val="0"/>
          <c:showSerName val="0"/>
          <c:showPercent val="0"/>
          <c:showBubbleSize val="0"/>
        </c:dLbls>
        <c:gapWidth val="150"/>
        <c:shape val="box"/>
        <c:axId val="637152344"/>
        <c:axId val="524483944"/>
        <c:axId val="583020784"/>
      </c:bar3DChart>
      <c:catAx>
        <c:axId val="637152344"/>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483944"/>
        <c:crosses val="autoZero"/>
        <c:auto val="1"/>
        <c:lblAlgn val="ctr"/>
        <c:lblOffset val="100"/>
        <c:noMultiLvlLbl val="0"/>
      </c:catAx>
      <c:valAx>
        <c:axId val="524483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Numbers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7152344"/>
        <c:crosses val="autoZero"/>
        <c:crossBetween val="between"/>
      </c:valAx>
      <c:serAx>
        <c:axId val="583020784"/>
        <c:scaling>
          <c:orientation val="minMax"/>
        </c:scaling>
        <c:delete val="1"/>
        <c:axPos val="b"/>
        <c:majorTickMark val="none"/>
        <c:minorTickMark val="none"/>
        <c:tickLblPos val="nextTo"/>
        <c:crossAx val="524483944"/>
        <c:crosses val="autoZero"/>
      </c:ser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28575" cap="flat" cmpd="sng" algn="ctr">
      <a:solidFill>
        <a:sysClr val="windowText" lastClr="000000"/>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IN" b="1"/>
              <a:t>Management</a:t>
            </a:r>
            <a:r>
              <a:rPr lang="en-IN" b="1" baseline="0"/>
              <a:t> v/s Other Stream</a:t>
            </a:r>
            <a:endParaRPr lang="en-IN"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Sheet1!$C$81</c:f>
              <c:strCache>
                <c:ptCount val="1"/>
                <c:pt idx="0">
                  <c:v>Management</c:v>
                </c:pt>
              </c:strCache>
            </c:strRef>
          </c:tx>
          <c:spPr>
            <a:solidFill>
              <a:schemeClr val="accent1"/>
            </a:solidFill>
            <a:ln>
              <a:noFill/>
            </a:ln>
            <a:effectLst/>
            <a:sp3d/>
          </c:spPr>
          <c:invertIfNegative val="0"/>
          <c:dLbls>
            <c:dLbl>
              <c:idx val="0"/>
              <c:layout>
                <c:manualLayout>
                  <c:x val="8.3333333333333332E-3"/>
                  <c:y val="7.3251676873724123E-2"/>
                </c:manualLayout>
              </c:layout>
              <c:tx>
                <c:rich>
                  <a:bodyPr/>
                  <a:lstStyle/>
                  <a:p>
                    <a:fld id="{95C2FA22-79A1-4B33-AC1C-86D547352C17}" type="VALUE">
                      <a:rPr lang="en-US"/>
                      <a:pPr/>
                      <a:t>[VALUE]</a:t>
                    </a:fld>
                    <a:endParaRPr lang="en-US"/>
                  </a:p>
                  <a:p>
                    <a:r>
                      <a:rPr lang="en-US"/>
                      <a:t>18.3%</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A15D-4C2E-A2A7-81345100DCFC}"/>
                </c:ext>
              </c:extLst>
            </c:dLbl>
            <c:dLbl>
              <c:idx val="1"/>
              <c:layout>
                <c:manualLayout>
                  <c:x val="8.3333333333333332E-3"/>
                  <c:y val="7.7861621463983663E-2"/>
                </c:manualLayout>
              </c:layout>
              <c:tx>
                <c:rich>
                  <a:bodyPr/>
                  <a:lstStyle/>
                  <a:p>
                    <a:fld id="{00F5E003-2F6F-4A38-BB6A-2E4EB50CBFCE}" type="VALUE">
                      <a:rPr lang="en-US"/>
                      <a:pPr/>
                      <a:t>[VALUE]</a:t>
                    </a:fld>
                    <a:endParaRPr lang="en-US"/>
                  </a:p>
                  <a:p>
                    <a:r>
                      <a:rPr lang="en-US"/>
                      <a:t>17.5%</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15D-4C2E-A2A7-81345100DCFC}"/>
                </c:ext>
              </c:extLst>
            </c:dLbl>
            <c:dLbl>
              <c:idx val="2"/>
              <c:layout>
                <c:manualLayout>
                  <c:x val="8.3333333333333332E-3"/>
                  <c:y val="6.9444444444444448E-2"/>
                </c:manualLayout>
              </c:layout>
              <c:tx>
                <c:rich>
                  <a:bodyPr/>
                  <a:lstStyle/>
                  <a:p>
                    <a:fld id="{C9926B44-C5BB-419D-A274-538C1B35C2E1}" type="VALUE">
                      <a:rPr lang="en-US"/>
                      <a:pPr/>
                      <a:t>[VALUE]</a:t>
                    </a:fld>
                    <a:endParaRPr lang="en-US"/>
                  </a:p>
                  <a:p>
                    <a:r>
                      <a:rPr lang="en-US"/>
                      <a:t>19.2%</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A15D-4C2E-A2A7-81345100DCF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Sheet1!$B$82:$B$84</c:f>
              <c:strCache>
                <c:ptCount val="3"/>
                <c:pt idx="0">
                  <c:v>2020-21</c:v>
                </c:pt>
                <c:pt idx="1">
                  <c:v>2019-20</c:v>
                </c:pt>
                <c:pt idx="2">
                  <c:v>2018-19</c:v>
                </c:pt>
              </c:strCache>
            </c:strRef>
          </c:cat>
          <c:val>
            <c:numRef>
              <c:f>Sheet1!$C$82:$C$84</c:f>
              <c:numCache>
                <c:formatCode>General</c:formatCode>
                <c:ptCount val="3"/>
                <c:pt idx="0">
                  <c:v>22</c:v>
                </c:pt>
                <c:pt idx="1">
                  <c:v>21</c:v>
                </c:pt>
                <c:pt idx="2">
                  <c:v>23</c:v>
                </c:pt>
              </c:numCache>
            </c:numRef>
          </c:val>
          <c:extLst>
            <c:ext xmlns:c16="http://schemas.microsoft.com/office/drawing/2014/chart" uri="{C3380CC4-5D6E-409C-BE32-E72D297353CC}">
              <c16:uniqueId val="{00000003-A15D-4C2E-A2A7-81345100DCFC}"/>
            </c:ext>
          </c:extLst>
        </c:ser>
        <c:ser>
          <c:idx val="1"/>
          <c:order val="1"/>
          <c:tx>
            <c:strRef>
              <c:f>Sheet1!$D$81</c:f>
              <c:strCache>
                <c:ptCount val="1"/>
                <c:pt idx="0">
                  <c:v>Other Stream</c:v>
                </c:pt>
              </c:strCache>
            </c:strRef>
          </c:tx>
          <c:spPr>
            <a:solidFill>
              <a:schemeClr val="accent2"/>
            </a:solidFill>
            <a:ln>
              <a:noFill/>
            </a:ln>
            <a:effectLst/>
            <a:sp3d/>
          </c:spPr>
          <c:invertIfNegative val="0"/>
          <c:dLbls>
            <c:dLbl>
              <c:idx val="0"/>
              <c:layout>
                <c:manualLayout>
                  <c:x val="5.0925337632079971E-17"/>
                  <c:y val="0.12037037037037036"/>
                </c:manualLayout>
              </c:layout>
              <c:tx>
                <c:rich>
                  <a:bodyPr/>
                  <a:lstStyle/>
                  <a:p>
                    <a:fld id="{FECAFE23-9737-4048-A438-9545A8A8E7C1}" type="VALUE">
                      <a:rPr lang="en-US"/>
                      <a:pPr/>
                      <a:t>[VALUE]</a:t>
                    </a:fld>
                    <a:endParaRPr lang="en-US"/>
                  </a:p>
                  <a:p>
                    <a:r>
                      <a:rPr lang="en-US"/>
                      <a:t>81.7%</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A15D-4C2E-A2A7-81345100DCFC}"/>
                </c:ext>
              </c:extLst>
            </c:dLbl>
            <c:dLbl>
              <c:idx val="1"/>
              <c:layout>
                <c:manualLayout>
                  <c:x val="0"/>
                  <c:y val="0.11574074074074074"/>
                </c:manualLayout>
              </c:layout>
              <c:tx>
                <c:rich>
                  <a:bodyPr/>
                  <a:lstStyle/>
                  <a:p>
                    <a:fld id="{0448E137-C3AD-41E9-9F74-92DAAD2874FF}" type="VALUE">
                      <a:rPr lang="en-US"/>
                      <a:pPr/>
                      <a:t>[VALUE]</a:t>
                    </a:fld>
                    <a:endParaRPr lang="en-US"/>
                  </a:p>
                  <a:p>
                    <a:r>
                      <a:rPr lang="en-US"/>
                      <a:t>77.5%</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15D-4C2E-A2A7-81345100DCFC}"/>
                </c:ext>
              </c:extLst>
            </c:dLbl>
            <c:dLbl>
              <c:idx val="2"/>
              <c:layout>
                <c:manualLayout>
                  <c:x val="0"/>
                  <c:y val="0.125"/>
                </c:manualLayout>
              </c:layout>
              <c:tx>
                <c:rich>
                  <a:bodyPr/>
                  <a:lstStyle/>
                  <a:p>
                    <a:fld id="{29A1CA46-598E-4734-A663-E9A7025C28AC}" type="VALUE">
                      <a:rPr lang="en-US"/>
                      <a:pPr/>
                      <a:t>[VALUE]</a:t>
                    </a:fld>
                    <a:endParaRPr lang="en-US"/>
                  </a:p>
                  <a:p>
                    <a:r>
                      <a:rPr lang="en-US"/>
                      <a:t>80.8%</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A15D-4C2E-A2A7-81345100DCF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Sheet1!$B$82:$B$84</c:f>
              <c:strCache>
                <c:ptCount val="3"/>
                <c:pt idx="0">
                  <c:v>2020-21</c:v>
                </c:pt>
                <c:pt idx="1">
                  <c:v>2019-20</c:v>
                </c:pt>
                <c:pt idx="2">
                  <c:v>2018-19</c:v>
                </c:pt>
              </c:strCache>
            </c:strRef>
          </c:cat>
          <c:val>
            <c:numRef>
              <c:f>Sheet1!$D$82:$D$84</c:f>
              <c:numCache>
                <c:formatCode>General</c:formatCode>
                <c:ptCount val="3"/>
                <c:pt idx="0">
                  <c:v>98</c:v>
                </c:pt>
                <c:pt idx="1">
                  <c:v>99</c:v>
                </c:pt>
                <c:pt idx="2">
                  <c:v>97</c:v>
                </c:pt>
              </c:numCache>
            </c:numRef>
          </c:val>
          <c:extLst>
            <c:ext xmlns:c16="http://schemas.microsoft.com/office/drawing/2014/chart" uri="{C3380CC4-5D6E-409C-BE32-E72D297353CC}">
              <c16:uniqueId val="{00000007-A15D-4C2E-A2A7-81345100DCFC}"/>
            </c:ext>
          </c:extLst>
        </c:ser>
        <c:dLbls>
          <c:showLegendKey val="0"/>
          <c:showVal val="1"/>
          <c:showCatName val="0"/>
          <c:showSerName val="0"/>
          <c:showPercent val="0"/>
          <c:showBubbleSize val="0"/>
        </c:dLbls>
        <c:gapWidth val="150"/>
        <c:shape val="box"/>
        <c:axId val="524481592"/>
        <c:axId val="524487472"/>
        <c:axId val="583023328"/>
      </c:bar3DChart>
      <c:catAx>
        <c:axId val="524481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Years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487472"/>
        <c:crosses val="autoZero"/>
        <c:auto val="1"/>
        <c:lblAlgn val="ctr"/>
        <c:lblOffset val="100"/>
        <c:noMultiLvlLbl val="0"/>
      </c:catAx>
      <c:valAx>
        <c:axId val="524487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Numbers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481592"/>
        <c:crosses val="autoZero"/>
        <c:crossBetween val="between"/>
      </c:valAx>
      <c:serAx>
        <c:axId val="583023328"/>
        <c:scaling>
          <c:orientation val="minMax"/>
        </c:scaling>
        <c:delete val="1"/>
        <c:axPos val="b"/>
        <c:majorTickMark val="none"/>
        <c:minorTickMark val="none"/>
        <c:tickLblPos val="nextTo"/>
        <c:crossAx val="524487472"/>
        <c:crosses val="autoZero"/>
      </c:ser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28575" cap="flat" cmpd="sng" algn="ctr">
      <a:solidFill>
        <a:sysClr val="windowText" lastClr="000000"/>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3</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Kaushal</dc:creator>
  <cp:keywords/>
  <dc:description/>
  <cp:lastModifiedBy>Kaushal</cp:lastModifiedBy>
  <cp:revision>2</cp:revision>
  <dcterms:created xsi:type="dcterms:W3CDTF">2022-02-07T07:35:00Z</dcterms:created>
  <dcterms:modified xsi:type="dcterms:W3CDTF">2022-02-07T07:40:00Z</dcterms:modified>
</cp:coreProperties>
</file>